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6E18" w14:textId="77777777" w:rsidR="00416323" w:rsidRPr="00416323" w:rsidRDefault="00416323" w:rsidP="00416323">
      <w:pPr>
        <w:rPr>
          <w:b/>
          <w:caps/>
        </w:rPr>
      </w:pPr>
      <w:r w:rsidRPr="00416323">
        <w:rPr>
          <w:b/>
          <w:caps/>
        </w:rPr>
        <w:t>Task Force Member Reports</w:t>
      </w:r>
    </w:p>
    <w:p w14:paraId="037976CC" w14:textId="77777777" w:rsidR="00416323" w:rsidRPr="00416323" w:rsidRDefault="00416323" w:rsidP="00416323"/>
    <w:p w14:paraId="65CF2F0C" w14:textId="77777777" w:rsidR="00416323" w:rsidRPr="00416323" w:rsidRDefault="00416323" w:rsidP="00416323">
      <w:pPr>
        <w:rPr>
          <w:b/>
        </w:rPr>
      </w:pPr>
      <w:r w:rsidRPr="00416323">
        <w:rPr>
          <w:b/>
        </w:rPr>
        <w:t>I.</w:t>
      </w:r>
      <w:r w:rsidRPr="00416323">
        <w:rPr>
          <w:b/>
        </w:rPr>
        <w:tab/>
        <w:t>Department of Labor</w:t>
      </w:r>
    </w:p>
    <w:p w14:paraId="584CCF60" w14:textId="77777777" w:rsidR="00416323" w:rsidRPr="00416323" w:rsidRDefault="00416323" w:rsidP="00416323"/>
    <w:p w14:paraId="15BC84EC" w14:textId="77777777" w:rsidR="00416323" w:rsidRPr="00416323" w:rsidRDefault="00416323" w:rsidP="00416323">
      <w:pPr>
        <w:rPr>
          <w:b/>
        </w:rPr>
      </w:pPr>
      <w:r w:rsidRPr="00416323">
        <w:rPr>
          <w:b/>
        </w:rPr>
        <w:tab/>
        <w:t>A.</w:t>
      </w:r>
      <w:r w:rsidRPr="00416323">
        <w:rPr>
          <w:b/>
        </w:rPr>
        <w:tab/>
        <w:t>Division of Labor and Industry</w:t>
      </w:r>
    </w:p>
    <w:p w14:paraId="7C440C8D" w14:textId="77777777" w:rsidR="00416323" w:rsidRPr="00416323" w:rsidRDefault="00416323" w:rsidP="00416323"/>
    <w:p w14:paraId="59A26D9D" w14:textId="2D98ED2B" w:rsidR="00416323" w:rsidRPr="00416323" w:rsidRDefault="00416323" w:rsidP="00416323">
      <w:r w:rsidRPr="00416323">
        <w:t>The Division of Labor and Industry administers the enforcement of laws that protect the rights of workers.  These include laws pertaining to the payment of wages, the employment of minors, the payment of prevailing and living wages under certain State contracts, occupational safety, and health laws, as well as Maryland’s Workplace Fraud Act.  The Worker Classification Protection Unit (WCPU) within the Division of Labor and Industry is specifically tasked with the responsibility of enforcing the Workplace Fraud Act.</w:t>
      </w:r>
    </w:p>
    <w:p w14:paraId="47540B8F" w14:textId="77777777" w:rsidR="00416323" w:rsidRPr="00416323" w:rsidRDefault="00416323" w:rsidP="00416323"/>
    <w:p w14:paraId="7E4C3986" w14:textId="77777777" w:rsidR="00416323" w:rsidRPr="00416323" w:rsidRDefault="00416323" w:rsidP="00416323">
      <w:r w:rsidRPr="00416323">
        <w:t>In order to combat misclassification under the Workplace Fraud Act, the WCPU participates in a variety of outreach events for businesses and workers in the construction and landscaping industry.  These include educational workshops and guidance conferences as well as trade shows and other industry and organization sponsored events.  The WCPU also investigates reports of misclassification in the construction and landscaping industries which it receives from workers and other interested parties, as well as from other units of State government.  In addition to the complaint and referral driven investigations, the WCPU conducts random investigations at work sites throughout the State.</w:t>
      </w:r>
    </w:p>
    <w:p w14:paraId="4D47BBF2" w14:textId="77777777" w:rsidR="00416323" w:rsidRPr="00416323" w:rsidRDefault="00416323" w:rsidP="00416323"/>
    <w:p w14:paraId="54020CE7" w14:textId="77777777" w:rsidR="00416323" w:rsidRPr="00416323" w:rsidRDefault="00416323" w:rsidP="00416323">
      <w:r w:rsidRPr="00416323">
        <w:t>The data below represents the activity of the WCPU in 2020.</w:t>
      </w:r>
    </w:p>
    <w:p w14:paraId="6DB5D986" w14:textId="77777777" w:rsidR="00416323" w:rsidRPr="00416323" w:rsidRDefault="00416323" w:rsidP="004163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2211"/>
      </w:tblGrid>
      <w:tr w:rsidR="00416323" w:rsidRPr="00416323" w14:paraId="2706EDF3" w14:textId="77777777" w:rsidTr="002800ED">
        <w:trPr>
          <w:trHeight w:val="576"/>
        </w:trPr>
        <w:tc>
          <w:tcPr>
            <w:tcW w:w="7308" w:type="dxa"/>
            <w:shd w:val="clear" w:color="auto" w:fill="auto"/>
            <w:vAlign w:val="center"/>
          </w:tcPr>
          <w:p w14:paraId="7466E130" w14:textId="77777777" w:rsidR="00416323" w:rsidRPr="00416323" w:rsidRDefault="00416323" w:rsidP="002800ED">
            <w:pPr>
              <w:jc w:val="center"/>
              <w:rPr>
                <w:rFonts w:eastAsia="Calibri"/>
                <w:b/>
              </w:rPr>
            </w:pPr>
            <w:r w:rsidRPr="00416323">
              <w:rPr>
                <w:rFonts w:eastAsia="Calibri"/>
                <w:b/>
              </w:rPr>
              <w:t>Worker Classification Protection Unit</w:t>
            </w:r>
          </w:p>
        </w:tc>
        <w:tc>
          <w:tcPr>
            <w:tcW w:w="2268" w:type="dxa"/>
            <w:tcBorders>
              <w:bottom w:val="single" w:sz="4" w:space="0" w:color="auto"/>
            </w:tcBorders>
            <w:shd w:val="clear" w:color="auto" w:fill="auto"/>
            <w:vAlign w:val="center"/>
          </w:tcPr>
          <w:p w14:paraId="29D9E3DA" w14:textId="77777777" w:rsidR="00416323" w:rsidRPr="00416323" w:rsidRDefault="00416323" w:rsidP="002800ED">
            <w:pPr>
              <w:jc w:val="center"/>
              <w:rPr>
                <w:rFonts w:eastAsia="Calibri"/>
                <w:b/>
              </w:rPr>
            </w:pPr>
            <w:r w:rsidRPr="00416323">
              <w:rPr>
                <w:rFonts w:eastAsia="Calibri"/>
                <w:b/>
              </w:rPr>
              <w:t>2020</w:t>
            </w:r>
          </w:p>
        </w:tc>
      </w:tr>
      <w:tr w:rsidR="00416323" w:rsidRPr="00416323" w14:paraId="499749A8" w14:textId="77777777" w:rsidTr="002800ED">
        <w:trPr>
          <w:trHeight w:val="360"/>
        </w:trPr>
        <w:tc>
          <w:tcPr>
            <w:tcW w:w="7308" w:type="dxa"/>
            <w:shd w:val="clear" w:color="auto" w:fill="auto"/>
            <w:vAlign w:val="center"/>
          </w:tcPr>
          <w:p w14:paraId="4FE34F41" w14:textId="77777777" w:rsidR="00416323" w:rsidRPr="00416323" w:rsidRDefault="00416323" w:rsidP="002800ED">
            <w:pPr>
              <w:rPr>
                <w:rFonts w:eastAsia="Calibri"/>
              </w:rPr>
            </w:pPr>
            <w:r w:rsidRPr="00416323">
              <w:rPr>
                <w:rFonts w:eastAsia="Calibri"/>
              </w:rPr>
              <w:t>Number of Outreach Events</w:t>
            </w:r>
          </w:p>
        </w:tc>
        <w:tc>
          <w:tcPr>
            <w:tcW w:w="2268" w:type="dxa"/>
            <w:shd w:val="clear" w:color="auto" w:fill="auto"/>
            <w:vAlign w:val="center"/>
          </w:tcPr>
          <w:p w14:paraId="5E64517E" w14:textId="77777777" w:rsidR="00416323" w:rsidRPr="00416323" w:rsidRDefault="00416323" w:rsidP="002800ED">
            <w:pPr>
              <w:jc w:val="center"/>
              <w:rPr>
                <w:rFonts w:eastAsia="Calibri"/>
                <w:highlight w:val="yellow"/>
              </w:rPr>
            </w:pPr>
            <w:r w:rsidRPr="00416323">
              <w:rPr>
                <w:rFonts w:eastAsia="Calibri"/>
              </w:rPr>
              <w:t>6</w:t>
            </w:r>
          </w:p>
        </w:tc>
      </w:tr>
      <w:tr w:rsidR="00416323" w:rsidRPr="00416323" w14:paraId="61B8D816" w14:textId="77777777" w:rsidTr="002800ED">
        <w:trPr>
          <w:trHeight w:val="360"/>
        </w:trPr>
        <w:tc>
          <w:tcPr>
            <w:tcW w:w="7308" w:type="dxa"/>
            <w:shd w:val="clear" w:color="auto" w:fill="auto"/>
            <w:vAlign w:val="center"/>
          </w:tcPr>
          <w:p w14:paraId="4BF187AD" w14:textId="77777777" w:rsidR="00416323" w:rsidRPr="00416323" w:rsidRDefault="00416323" w:rsidP="002800ED">
            <w:pPr>
              <w:rPr>
                <w:rFonts w:eastAsia="Calibri"/>
              </w:rPr>
            </w:pPr>
            <w:r w:rsidRPr="00416323">
              <w:rPr>
                <w:rFonts w:eastAsia="Calibri"/>
              </w:rPr>
              <w:t>Number of Persons Participating in Outreach Events</w:t>
            </w:r>
          </w:p>
        </w:tc>
        <w:tc>
          <w:tcPr>
            <w:tcW w:w="2268" w:type="dxa"/>
            <w:shd w:val="clear" w:color="auto" w:fill="auto"/>
            <w:vAlign w:val="center"/>
          </w:tcPr>
          <w:p w14:paraId="0BEEC2EE" w14:textId="77777777" w:rsidR="00416323" w:rsidRPr="00416323" w:rsidRDefault="00416323" w:rsidP="002800ED">
            <w:pPr>
              <w:jc w:val="center"/>
              <w:rPr>
                <w:rFonts w:eastAsia="Calibri"/>
                <w:highlight w:val="yellow"/>
              </w:rPr>
            </w:pPr>
            <w:r w:rsidRPr="00416323">
              <w:rPr>
                <w:rFonts w:eastAsia="Calibri"/>
              </w:rPr>
              <w:t>156</w:t>
            </w:r>
          </w:p>
        </w:tc>
      </w:tr>
      <w:tr w:rsidR="00416323" w:rsidRPr="00416323" w14:paraId="68E593B1" w14:textId="77777777" w:rsidTr="002800ED">
        <w:trPr>
          <w:trHeight w:val="360"/>
        </w:trPr>
        <w:tc>
          <w:tcPr>
            <w:tcW w:w="7308" w:type="dxa"/>
            <w:shd w:val="clear" w:color="auto" w:fill="auto"/>
            <w:vAlign w:val="center"/>
          </w:tcPr>
          <w:p w14:paraId="0B46A39B" w14:textId="77777777" w:rsidR="00416323" w:rsidRPr="00416323" w:rsidRDefault="00416323" w:rsidP="002800ED">
            <w:pPr>
              <w:rPr>
                <w:rFonts w:eastAsia="Calibri"/>
              </w:rPr>
            </w:pPr>
            <w:r w:rsidRPr="00416323">
              <w:rPr>
                <w:rFonts w:eastAsia="Calibri"/>
              </w:rPr>
              <w:t>Number of Guidance Conferences/Consultations</w:t>
            </w:r>
          </w:p>
        </w:tc>
        <w:tc>
          <w:tcPr>
            <w:tcW w:w="2268" w:type="dxa"/>
            <w:shd w:val="clear" w:color="auto" w:fill="auto"/>
            <w:vAlign w:val="center"/>
          </w:tcPr>
          <w:p w14:paraId="2FFF1C18" w14:textId="77777777" w:rsidR="00416323" w:rsidRPr="00416323" w:rsidRDefault="00416323" w:rsidP="002800ED">
            <w:pPr>
              <w:jc w:val="center"/>
              <w:rPr>
                <w:rFonts w:eastAsia="Calibri"/>
                <w:highlight w:val="yellow"/>
              </w:rPr>
            </w:pPr>
            <w:r w:rsidRPr="00416323">
              <w:rPr>
                <w:rFonts w:eastAsia="Calibri"/>
              </w:rPr>
              <w:t xml:space="preserve"> 0</w:t>
            </w:r>
          </w:p>
        </w:tc>
      </w:tr>
      <w:tr w:rsidR="00416323" w:rsidRPr="00416323" w14:paraId="4C2C9EFE" w14:textId="77777777" w:rsidTr="002800ED">
        <w:trPr>
          <w:trHeight w:val="360"/>
        </w:trPr>
        <w:tc>
          <w:tcPr>
            <w:tcW w:w="7308" w:type="dxa"/>
            <w:shd w:val="clear" w:color="auto" w:fill="auto"/>
            <w:vAlign w:val="center"/>
          </w:tcPr>
          <w:p w14:paraId="4A5FD85F" w14:textId="77777777" w:rsidR="00416323" w:rsidRPr="00416323" w:rsidRDefault="00416323" w:rsidP="002800ED">
            <w:pPr>
              <w:rPr>
                <w:rFonts w:eastAsia="Calibri"/>
              </w:rPr>
            </w:pPr>
            <w:r w:rsidRPr="00416323">
              <w:rPr>
                <w:rFonts w:eastAsia="Calibri"/>
              </w:rPr>
              <w:t>Number of Misclassification Reports Received</w:t>
            </w:r>
          </w:p>
        </w:tc>
        <w:tc>
          <w:tcPr>
            <w:tcW w:w="2268" w:type="dxa"/>
            <w:shd w:val="clear" w:color="auto" w:fill="auto"/>
            <w:vAlign w:val="center"/>
          </w:tcPr>
          <w:p w14:paraId="59FCA401" w14:textId="77777777" w:rsidR="00416323" w:rsidRPr="00416323" w:rsidRDefault="00416323" w:rsidP="002800ED">
            <w:pPr>
              <w:jc w:val="center"/>
              <w:rPr>
                <w:rFonts w:eastAsia="Calibri"/>
                <w:highlight w:val="yellow"/>
              </w:rPr>
            </w:pPr>
            <w:r w:rsidRPr="00416323">
              <w:rPr>
                <w:rFonts w:eastAsia="Calibri"/>
              </w:rPr>
              <w:t xml:space="preserve"> 7</w:t>
            </w:r>
          </w:p>
        </w:tc>
      </w:tr>
      <w:tr w:rsidR="00416323" w:rsidRPr="00416323" w14:paraId="189DDDD1" w14:textId="77777777" w:rsidTr="002800ED">
        <w:trPr>
          <w:trHeight w:val="360"/>
        </w:trPr>
        <w:tc>
          <w:tcPr>
            <w:tcW w:w="7308" w:type="dxa"/>
            <w:shd w:val="clear" w:color="auto" w:fill="auto"/>
            <w:vAlign w:val="center"/>
          </w:tcPr>
          <w:p w14:paraId="66DC4DF0" w14:textId="77777777" w:rsidR="00416323" w:rsidRPr="00416323" w:rsidRDefault="00416323" w:rsidP="002800ED">
            <w:pPr>
              <w:rPr>
                <w:rFonts w:eastAsia="Calibri"/>
              </w:rPr>
            </w:pPr>
            <w:r w:rsidRPr="00416323">
              <w:rPr>
                <w:rFonts w:eastAsia="Calibri"/>
              </w:rPr>
              <w:t>Number of Misclassification Reports Referred to the Task Force</w:t>
            </w:r>
          </w:p>
        </w:tc>
        <w:tc>
          <w:tcPr>
            <w:tcW w:w="2268" w:type="dxa"/>
            <w:shd w:val="clear" w:color="auto" w:fill="auto"/>
            <w:vAlign w:val="center"/>
          </w:tcPr>
          <w:p w14:paraId="2CA6DDF5" w14:textId="77777777" w:rsidR="00416323" w:rsidRPr="00416323" w:rsidRDefault="00416323" w:rsidP="002800ED">
            <w:pPr>
              <w:jc w:val="center"/>
              <w:rPr>
                <w:rFonts w:eastAsia="Calibri"/>
                <w:highlight w:val="yellow"/>
              </w:rPr>
            </w:pPr>
          </w:p>
        </w:tc>
      </w:tr>
      <w:tr w:rsidR="00416323" w:rsidRPr="00416323" w14:paraId="7F47D7B6" w14:textId="77777777" w:rsidTr="002800ED">
        <w:trPr>
          <w:trHeight w:val="360"/>
        </w:trPr>
        <w:tc>
          <w:tcPr>
            <w:tcW w:w="7308" w:type="dxa"/>
            <w:shd w:val="clear" w:color="auto" w:fill="auto"/>
            <w:vAlign w:val="center"/>
          </w:tcPr>
          <w:p w14:paraId="7B535E48" w14:textId="77777777" w:rsidR="00416323" w:rsidRPr="00416323" w:rsidRDefault="00416323" w:rsidP="002800ED">
            <w:pPr>
              <w:rPr>
                <w:rFonts w:eastAsia="Calibri"/>
              </w:rPr>
            </w:pPr>
            <w:r w:rsidRPr="00416323">
              <w:rPr>
                <w:rFonts w:eastAsia="Calibri"/>
              </w:rPr>
              <w:t>Number of Misclassification Reports Referred to UI</w:t>
            </w:r>
          </w:p>
        </w:tc>
        <w:tc>
          <w:tcPr>
            <w:tcW w:w="2268" w:type="dxa"/>
            <w:shd w:val="clear" w:color="auto" w:fill="auto"/>
            <w:vAlign w:val="center"/>
          </w:tcPr>
          <w:p w14:paraId="4854FBAC" w14:textId="77777777" w:rsidR="00416323" w:rsidRPr="00416323" w:rsidRDefault="00416323" w:rsidP="002800ED">
            <w:pPr>
              <w:jc w:val="center"/>
              <w:rPr>
                <w:rFonts w:eastAsia="Calibri"/>
                <w:highlight w:val="yellow"/>
              </w:rPr>
            </w:pPr>
            <w:r w:rsidRPr="00416323">
              <w:rPr>
                <w:rFonts w:eastAsia="Calibri"/>
              </w:rPr>
              <w:t>5</w:t>
            </w:r>
          </w:p>
        </w:tc>
      </w:tr>
      <w:tr w:rsidR="00416323" w:rsidRPr="00416323" w14:paraId="235EF6AD" w14:textId="77777777" w:rsidTr="002800ED">
        <w:trPr>
          <w:trHeight w:val="360"/>
        </w:trPr>
        <w:tc>
          <w:tcPr>
            <w:tcW w:w="7308" w:type="dxa"/>
            <w:shd w:val="clear" w:color="auto" w:fill="auto"/>
            <w:vAlign w:val="center"/>
          </w:tcPr>
          <w:p w14:paraId="022B6658" w14:textId="77777777" w:rsidR="00416323" w:rsidRPr="00416323" w:rsidRDefault="00416323" w:rsidP="002800ED">
            <w:pPr>
              <w:rPr>
                <w:rFonts w:eastAsia="Calibri"/>
              </w:rPr>
            </w:pPr>
            <w:r w:rsidRPr="00416323">
              <w:rPr>
                <w:rFonts w:eastAsia="Calibri"/>
              </w:rPr>
              <w:t>Number of Cases Open as of January 1, 2020</w:t>
            </w:r>
          </w:p>
        </w:tc>
        <w:tc>
          <w:tcPr>
            <w:tcW w:w="2268" w:type="dxa"/>
            <w:shd w:val="clear" w:color="auto" w:fill="auto"/>
            <w:vAlign w:val="center"/>
          </w:tcPr>
          <w:p w14:paraId="5601EFF2" w14:textId="77777777" w:rsidR="00416323" w:rsidRPr="00416323" w:rsidRDefault="00416323" w:rsidP="002800ED">
            <w:pPr>
              <w:jc w:val="center"/>
              <w:rPr>
                <w:rFonts w:eastAsia="Calibri"/>
                <w:highlight w:val="yellow"/>
              </w:rPr>
            </w:pPr>
            <w:r w:rsidRPr="00416323">
              <w:rPr>
                <w:rFonts w:eastAsia="Calibri"/>
              </w:rPr>
              <w:t>171</w:t>
            </w:r>
          </w:p>
        </w:tc>
      </w:tr>
      <w:tr w:rsidR="00416323" w:rsidRPr="00416323" w14:paraId="712F73D2" w14:textId="77777777" w:rsidTr="002800ED">
        <w:trPr>
          <w:trHeight w:val="360"/>
        </w:trPr>
        <w:tc>
          <w:tcPr>
            <w:tcW w:w="7308" w:type="dxa"/>
            <w:shd w:val="clear" w:color="auto" w:fill="auto"/>
            <w:vAlign w:val="center"/>
          </w:tcPr>
          <w:p w14:paraId="0D2A1A93" w14:textId="77777777" w:rsidR="00416323" w:rsidRPr="00416323" w:rsidRDefault="00416323" w:rsidP="002800ED">
            <w:pPr>
              <w:rPr>
                <w:rFonts w:eastAsia="Calibri"/>
              </w:rPr>
            </w:pPr>
            <w:r w:rsidRPr="00416323">
              <w:rPr>
                <w:rFonts w:eastAsia="Calibri"/>
              </w:rPr>
              <w:t>Number of Cases Opened January 1 – December 31</w:t>
            </w:r>
          </w:p>
        </w:tc>
        <w:tc>
          <w:tcPr>
            <w:tcW w:w="2268" w:type="dxa"/>
            <w:shd w:val="clear" w:color="auto" w:fill="auto"/>
            <w:vAlign w:val="center"/>
          </w:tcPr>
          <w:p w14:paraId="234A3712" w14:textId="77777777" w:rsidR="00416323" w:rsidRPr="00416323" w:rsidRDefault="00416323" w:rsidP="002800ED">
            <w:pPr>
              <w:jc w:val="center"/>
              <w:rPr>
                <w:rFonts w:eastAsia="Calibri"/>
                <w:highlight w:val="yellow"/>
              </w:rPr>
            </w:pPr>
            <w:r w:rsidRPr="00416323">
              <w:rPr>
                <w:rFonts w:eastAsia="Calibri"/>
              </w:rPr>
              <w:t>43</w:t>
            </w:r>
          </w:p>
        </w:tc>
      </w:tr>
      <w:tr w:rsidR="00416323" w:rsidRPr="00416323" w14:paraId="7206C371" w14:textId="77777777" w:rsidTr="002800ED">
        <w:trPr>
          <w:trHeight w:val="360"/>
        </w:trPr>
        <w:tc>
          <w:tcPr>
            <w:tcW w:w="7308" w:type="dxa"/>
            <w:shd w:val="clear" w:color="auto" w:fill="auto"/>
            <w:vAlign w:val="center"/>
          </w:tcPr>
          <w:p w14:paraId="447B27AA" w14:textId="77777777" w:rsidR="00416323" w:rsidRPr="00416323" w:rsidRDefault="00416323" w:rsidP="002800ED">
            <w:pPr>
              <w:rPr>
                <w:rFonts w:eastAsia="Calibri"/>
              </w:rPr>
            </w:pPr>
            <w:r w:rsidRPr="00416323">
              <w:rPr>
                <w:rFonts w:eastAsia="Calibri"/>
              </w:rPr>
              <w:t>Number of Cases Closed January 1 – December 31</w:t>
            </w:r>
          </w:p>
        </w:tc>
        <w:tc>
          <w:tcPr>
            <w:tcW w:w="2268" w:type="dxa"/>
            <w:shd w:val="clear" w:color="auto" w:fill="auto"/>
            <w:vAlign w:val="center"/>
          </w:tcPr>
          <w:p w14:paraId="43AD7FA5" w14:textId="77777777" w:rsidR="00416323" w:rsidRPr="00416323" w:rsidRDefault="00416323" w:rsidP="002800ED">
            <w:pPr>
              <w:jc w:val="center"/>
              <w:rPr>
                <w:rFonts w:eastAsia="Calibri"/>
                <w:highlight w:val="yellow"/>
              </w:rPr>
            </w:pPr>
            <w:r w:rsidRPr="00416323">
              <w:rPr>
                <w:rFonts w:eastAsia="Calibri"/>
              </w:rPr>
              <w:t>14</w:t>
            </w:r>
          </w:p>
        </w:tc>
      </w:tr>
      <w:tr w:rsidR="00416323" w:rsidRPr="00416323" w14:paraId="0356DFA6" w14:textId="77777777" w:rsidTr="002800ED">
        <w:trPr>
          <w:trHeight w:val="360"/>
        </w:trPr>
        <w:tc>
          <w:tcPr>
            <w:tcW w:w="7308" w:type="dxa"/>
            <w:shd w:val="clear" w:color="auto" w:fill="auto"/>
            <w:vAlign w:val="center"/>
          </w:tcPr>
          <w:p w14:paraId="0884B27A" w14:textId="77777777" w:rsidR="00416323" w:rsidRPr="00416323" w:rsidRDefault="00416323" w:rsidP="002800ED">
            <w:pPr>
              <w:rPr>
                <w:rFonts w:eastAsia="Calibri"/>
              </w:rPr>
            </w:pPr>
            <w:r w:rsidRPr="00416323">
              <w:rPr>
                <w:rFonts w:eastAsia="Calibri"/>
              </w:rPr>
              <w:t>Number of Citations Issued for Misclassification</w:t>
            </w:r>
          </w:p>
        </w:tc>
        <w:tc>
          <w:tcPr>
            <w:tcW w:w="2268" w:type="dxa"/>
            <w:shd w:val="clear" w:color="auto" w:fill="auto"/>
            <w:vAlign w:val="center"/>
          </w:tcPr>
          <w:p w14:paraId="65BF9F80" w14:textId="77777777" w:rsidR="00416323" w:rsidRPr="00416323" w:rsidRDefault="00416323" w:rsidP="002800ED">
            <w:pPr>
              <w:jc w:val="center"/>
              <w:rPr>
                <w:rFonts w:eastAsia="Calibri"/>
              </w:rPr>
            </w:pPr>
            <w:r w:rsidRPr="00416323">
              <w:rPr>
                <w:rFonts w:eastAsia="Calibri"/>
              </w:rPr>
              <w:t>0</w:t>
            </w:r>
          </w:p>
        </w:tc>
      </w:tr>
      <w:tr w:rsidR="00416323" w:rsidRPr="00416323" w14:paraId="6039133F" w14:textId="77777777" w:rsidTr="002800ED">
        <w:trPr>
          <w:trHeight w:val="360"/>
        </w:trPr>
        <w:tc>
          <w:tcPr>
            <w:tcW w:w="7308" w:type="dxa"/>
            <w:shd w:val="clear" w:color="auto" w:fill="auto"/>
            <w:vAlign w:val="center"/>
          </w:tcPr>
          <w:p w14:paraId="36CE973B" w14:textId="77777777" w:rsidR="00416323" w:rsidRPr="00416323" w:rsidRDefault="00416323" w:rsidP="002800ED">
            <w:pPr>
              <w:rPr>
                <w:rFonts w:eastAsia="Calibri"/>
              </w:rPr>
            </w:pPr>
            <w:r w:rsidRPr="00416323">
              <w:rPr>
                <w:rFonts w:eastAsia="Calibri"/>
              </w:rPr>
              <w:t>Number of Penalties Issued for Non-Response</w:t>
            </w:r>
          </w:p>
        </w:tc>
        <w:tc>
          <w:tcPr>
            <w:tcW w:w="2268" w:type="dxa"/>
            <w:shd w:val="clear" w:color="auto" w:fill="auto"/>
            <w:vAlign w:val="center"/>
          </w:tcPr>
          <w:p w14:paraId="2E8C878E" w14:textId="77777777" w:rsidR="00416323" w:rsidRPr="00416323" w:rsidRDefault="00416323" w:rsidP="002800ED">
            <w:pPr>
              <w:jc w:val="center"/>
              <w:rPr>
                <w:rFonts w:eastAsia="Calibri"/>
                <w:highlight w:val="yellow"/>
              </w:rPr>
            </w:pPr>
            <w:r w:rsidRPr="00416323">
              <w:rPr>
                <w:rFonts w:eastAsia="Calibri"/>
              </w:rPr>
              <w:t>5</w:t>
            </w:r>
          </w:p>
        </w:tc>
      </w:tr>
      <w:tr w:rsidR="00416323" w:rsidRPr="00416323" w14:paraId="47ADFD99" w14:textId="77777777" w:rsidTr="002800ED">
        <w:trPr>
          <w:trHeight w:val="360"/>
        </w:trPr>
        <w:tc>
          <w:tcPr>
            <w:tcW w:w="7308" w:type="dxa"/>
            <w:shd w:val="clear" w:color="auto" w:fill="auto"/>
            <w:vAlign w:val="center"/>
          </w:tcPr>
          <w:p w14:paraId="08A44EBA" w14:textId="77777777" w:rsidR="00416323" w:rsidRPr="00416323" w:rsidRDefault="00416323" w:rsidP="002800ED">
            <w:pPr>
              <w:rPr>
                <w:rFonts w:eastAsia="Calibri"/>
              </w:rPr>
            </w:pPr>
            <w:r w:rsidRPr="00416323">
              <w:rPr>
                <w:rFonts w:eastAsia="Calibri"/>
              </w:rPr>
              <w:t>Amount of Penalties Collected for Misclassification</w:t>
            </w:r>
          </w:p>
        </w:tc>
        <w:tc>
          <w:tcPr>
            <w:tcW w:w="2268" w:type="dxa"/>
            <w:shd w:val="clear" w:color="auto" w:fill="auto"/>
            <w:vAlign w:val="center"/>
          </w:tcPr>
          <w:p w14:paraId="226CEC32" w14:textId="77777777" w:rsidR="00416323" w:rsidRPr="00416323" w:rsidRDefault="00416323" w:rsidP="002800ED">
            <w:pPr>
              <w:jc w:val="center"/>
              <w:rPr>
                <w:rFonts w:eastAsia="Calibri"/>
                <w:highlight w:val="yellow"/>
              </w:rPr>
            </w:pPr>
            <w:r w:rsidRPr="00416323">
              <w:rPr>
                <w:rFonts w:eastAsia="Calibri"/>
              </w:rPr>
              <w:t>$0.00</w:t>
            </w:r>
          </w:p>
        </w:tc>
      </w:tr>
      <w:tr w:rsidR="00416323" w:rsidRPr="00416323" w14:paraId="6AE5BB24" w14:textId="77777777" w:rsidTr="002800ED">
        <w:trPr>
          <w:trHeight w:val="360"/>
        </w:trPr>
        <w:tc>
          <w:tcPr>
            <w:tcW w:w="7308" w:type="dxa"/>
            <w:shd w:val="clear" w:color="auto" w:fill="auto"/>
            <w:vAlign w:val="center"/>
          </w:tcPr>
          <w:p w14:paraId="78E6C2B3" w14:textId="77777777" w:rsidR="00416323" w:rsidRPr="00416323" w:rsidRDefault="00416323" w:rsidP="002800ED">
            <w:pPr>
              <w:rPr>
                <w:rFonts w:eastAsia="Calibri"/>
              </w:rPr>
            </w:pPr>
            <w:r w:rsidRPr="00416323">
              <w:rPr>
                <w:rFonts w:eastAsia="Calibri"/>
              </w:rPr>
              <w:t>Amount of Penalties Collected for Non-Response</w:t>
            </w:r>
          </w:p>
        </w:tc>
        <w:tc>
          <w:tcPr>
            <w:tcW w:w="2268" w:type="dxa"/>
            <w:shd w:val="clear" w:color="auto" w:fill="auto"/>
            <w:vAlign w:val="center"/>
          </w:tcPr>
          <w:p w14:paraId="47C8515A" w14:textId="77777777" w:rsidR="00416323" w:rsidRPr="00416323" w:rsidRDefault="00416323" w:rsidP="002800ED">
            <w:pPr>
              <w:jc w:val="center"/>
              <w:rPr>
                <w:rFonts w:eastAsia="Calibri"/>
                <w:highlight w:val="yellow"/>
              </w:rPr>
            </w:pPr>
            <w:r w:rsidRPr="00416323">
              <w:rPr>
                <w:rFonts w:eastAsia="Calibri"/>
              </w:rPr>
              <w:t>$0.00</w:t>
            </w:r>
          </w:p>
        </w:tc>
      </w:tr>
    </w:tbl>
    <w:p w14:paraId="0A493EEE" w14:textId="77777777" w:rsidR="00416323" w:rsidRPr="00416323" w:rsidRDefault="00416323" w:rsidP="00416323"/>
    <w:p w14:paraId="36FFE4D6" w14:textId="77777777" w:rsidR="00416323" w:rsidRPr="00416323" w:rsidRDefault="00416323" w:rsidP="00416323">
      <w:pPr>
        <w:spacing w:after="240"/>
        <w:rPr>
          <w:b/>
        </w:rPr>
      </w:pPr>
      <w:r w:rsidRPr="00416323">
        <w:rPr>
          <w:b/>
        </w:rPr>
        <w:tab/>
        <w:t>B.</w:t>
      </w:r>
      <w:r w:rsidRPr="00416323">
        <w:rPr>
          <w:b/>
        </w:rPr>
        <w:tab/>
        <w:t>Division of Unemployment Insurance</w:t>
      </w:r>
    </w:p>
    <w:p w14:paraId="11FABE50" w14:textId="77777777" w:rsidR="00416323" w:rsidRPr="00416323" w:rsidRDefault="00416323" w:rsidP="00416323">
      <w:pPr>
        <w:shd w:val="clear" w:color="auto" w:fill="FFFFFF"/>
        <w:spacing w:line="288" w:lineRule="atLeast"/>
        <w:rPr>
          <w:b/>
          <w:bCs/>
          <w:color w:val="222222"/>
        </w:rPr>
      </w:pPr>
      <w:r w:rsidRPr="00416323">
        <w:rPr>
          <w:b/>
          <w:bCs/>
          <w:color w:val="222222"/>
        </w:rPr>
        <w:lastRenderedPageBreak/>
        <w:t>Worker Misclassification Database</w:t>
      </w:r>
    </w:p>
    <w:p w14:paraId="5B63AAFF" w14:textId="77777777" w:rsidR="00416323" w:rsidRPr="00416323" w:rsidRDefault="00416323" w:rsidP="00416323">
      <w:pPr>
        <w:shd w:val="clear" w:color="auto" w:fill="FFFFFF"/>
        <w:spacing w:line="288" w:lineRule="atLeast"/>
        <w:rPr>
          <w:color w:val="222222"/>
        </w:rPr>
      </w:pPr>
    </w:p>
    <w:p w14:paraId="19A3F1B9" w14:textId="77777777" w:rsidR="00416323" w:rsidRPr="00416323" w:rsidRDefault="00416323" w:rsidP="00416323">
      <w:pPr>
        <w:shd w:val="clear" w:color="auto" w:fill="FFFFFF"/>
        <w:spacing w:line="288" w:lineRule="atLeast"/>
        <w:rPr>
          <w:color w:val="222222"/>
        </w:rPr>
      </w:pPr>
      <w:r w:rsidRPr="00416323">
        <w:rPr>
          <w:color w:val="222222"/>
        </w:rPr>
        <w:t>In 2012, the Department of Labor’s Office of Information Technology (OIT) worked with the Unemployment Insurance Division to acquire federal funding ($98,981) to create a database to help track cases that are referred to taskforce agencies for better enforcement. The purpose was to create a database that would be web based and enable all taskforce agencies to view its data. It would lead to data-driven audits and prevent using resources for audits that other taskforce agencies have already determined to be unproductive. Joint audits conducted by member agencies would be identified more quickly.</w:t>
      </w:r>
    </w:p>
    <w:p w14:paraId="417D0E10" w14:textId="77777777" w:rsidR="00416323" w:rsidRPr="00416323" w:rsidRDefault="00416323" w:rsidP="00416323">
      <w:pPr>
        <w:shd w:val="clear" w:color="auto" w:fill="FFFFFF"/>
        <w:spacing w:line="288" w:lineRule="atLeast"/>
        <w:rPr>
          <w:color w:val="222222"/>
        </w:rPr>
      </w:pPr>
      <w:r w:rsidRPr="00416323">
        <w:rPr>
          <w:color w:val="222222"/>
        </w:rPr>
        <w:t> </w:t>
      </w:r>
    </w:p>
    <w:p w14:paraId="75915D11" w14:textId="77777777" w:rsidR="00416323" w:rsidRPr="00416323" w:rsidRDefault="00416323" w:rsidP="00416323">
      <w:pPr>
        <w:shd w:val="clear" w:color="auto" w:fill="FFFFFF"/>
        <w:spacing w:line="288" w:lineRule="atLeast"/>
        <w:rPr>
          <w:color w:val="222222"/>
        </w:rPr>
      </w:pPr>
      <w:r w:rsidRPr="00416323">
        <w:rPr>
          <w:color w:val="222222"/>
        </w:rPr>
        <w:t>In 2013, the Department of Labor’s Office of Information Technology developed the database in partnership with Task Force member agencies. The Worker Misclassification Database allows member agencies to collaborate on investigations, share information, and track misclassification trends. In addition, the web-based database facilitates greater coordination among agencies and divisions in terms of referrals and suspected workplace fraud as required by the Executive Order that established the Task Force. The database also made it easier for agencies to submit cases to member agencies for review. In 2020, 5 cases were entered into the database. However, COVID-19 pandemic resulted in the closing of State offices and teleworking by the field auditors during most part of the calendar year 2020, which prevented the completion of any joint investigation of the cases. From the last six years since 2015, 92 cases were entered into the database, 12 joint investigations were opened and 6 joint investigations were concluded; and they resulted in 198 misclassified workers discovered, $923,671.36 unreported taxable wages, and $35,720.47 additional tax revenue to the Unemployment Insurance Trust Fund.</w:t>
      </w:r>
      <w:r w:rsidRPr="00416323">
        <w:rPr>
          <w:color w:val="222222"/>
          <w:shd w:val="clear" w:color="auto" w:fill="FFFF00"/>
        </w:rPr>
        <w:t xml:space="preserve"> </w:t>
      </w:r>
    </w:p>
    <w:p w14:paraId="64AC4C89" w14:textId="77777777" w:rsidR="00416323" w:rsidRPr="00416323" w:rsidRDefault="00416323" w:rsidP="00416323">
      <w:pPr>
        <w:shd w:val="clear" w:color="auto" w:fill="FFFFFF"/>
        <w:rPr>
          <w:color w:val="222222"/>
        </w:rPr>
      </w:pPr>
    </w:p>
    <w:p w14:paraId="41010B3F" w14:textId="77777777" w:rsidR="00416323" w:rsidRPr="00416323" w:rsidRDefault="00416323" w:rsidP="00416323">
      <w:pPr>
        <w:shd w:val="clear" w:color="auto" w:fill="FFFFFF"/>
        <w:rPr>
          <w:color w:val="222222"/>
        </w:rPr>
      </w:pPr>
    </w:p>
    <w:p w14:paraId="601943CE" w14:textId="77777777" w:rsidR="00416323" w:rsidRPr="00416323" w:rsidRDefault="00416323" w:rsidP="00416323">
      <w:pPr>
        <w:shd w:val="clear" w:color="auto" w:fill="FFFFFF"/>
        <w:spacing w:before="100" w:beforeAutospacing="1" w:after="100" w:afterAutospacing="1" w:line="293" w:lineRule="atLeast"/>
        <w:ind w:firstLine="720"/>
        <w:rPr>
          <w:color w:val="222222"/>
        </w:rPr>
      </w:pPr>
      <w:r w:rsidRPr="00416323">
        <w:rPr>
          <w:color w:val="222222"/>
        </w:rPr>
        <w:t>2.         </w:t>
      </w:r>
      <w:r w:rsidRPr="00416323">
        <w:rPr>
          <w:smallCaps/>
          <w:color w:val="222222"/>
        </w:rPr>
        <w:t>Division of Unemployment Insurance</w:t>
      </w:r>
    </w:p>
    <w:p w14:paraId="444B2075" w14:textId="77777777" w:rsidR="00416323" w:rsidRPr="00416323" w:rsidRDefault="00416323" w:rsidP="00416323">
      <w:pPr>
        <w:shd w:val="clear" w:color="auto" w:fill="FFFFFF"/>
        <w:rPr>
          <w:color w:val="222222"/>
        </w:rPr>
      </w:pPr>
      <w:r w:rsidRPr="00416323">
        <w:rPr>
          <w:color w:val="222222"/>
        </w:rPr>
        <w:t> </w:t>
      </w:r>
    </w:p>
    <w:p w14:paraId="1129148E" w14:textId="77777777" w:rsidR="00416323" w:rsidRPr="00416323" w:rsidRDefault="00416323" w:rsidP="00416323">
      <w:pPr>
        <w:shd w:val="clear" w:color="auto" w:fill="FFFFFF"/>
        <w:spacing w:line="288" w:lineRule="atLeast"/>
        <w:rPr>
          <w:color w:val="222222"/>
        </w:rPr>
      </w:pPr>
      <w:r w:rsidRPr="00416323">
        <w:rPr>
          <w:color w:val="222222"/>
        </w:rPr>
        <w:t>The Division of Unemployment Insurance (DUI) within the Department of Labor is impacted in a number of ways by the misclassification of employees as independent contractors generally, and the Workplace Fraud Act of 2009 in particular.  </w:t>
      </w:r>
    </w:p>
    <w:p w14:paraId="70063C36" w14:textId="77777777" w:rsidR="00416323" w:rsidRPr="00416323" w:rsidRDefault="00416323" w:rsidP="00416323">
      <w:pPr>
        <w:shd w:val="clear" w:color="auto" w:fill="FFFFFF"/>
        <w:spacing w:line="288" w:lineRule="atLeast"/>
        <w:rPr>
          <w:color w:val="222222"/>
        </w:rPr>
      </w:pPr>
      <w:r w:rsidRPr="00416323">
        <w:rPr>
          <w:color w:val="222222"/>
        </w:rPr>
        <w:t> </w:t>
      </w:r>
    </w:p>
    <w:p w14:paraId="3A40DF66" w14:textId="77777777" w:rsidR="00416323" w:rsidRPr="00416323" w:rsidRDefault="00416323" w:rsidP="00416323">
      <w:pPr>
        <w:shd w:val="clear" w:color="auto" w:fill="FFFFFF"/>
        <w:spacing w:line="288" w:lineRule="atLeast"/>
        <w:ind w:left="1080"/>
        <w:rPr>
          <w:color w:val="222222"/>
        </w:rPr>
      </w:pPr>
      <w:r w:rsidRPr="00416323">
        <w:rPr>
          <w:b/>
          <w:bCs/>
          <w:color w:val="222222"/>
        </w:rPr>
        <w:t>A.</w:t>
      </w:r>
      <w:r w:rsidRPr="00416323">
        <w:rPr>
          <w:color w:val="222222"/>
        </w:rPr>
        <w:t>    </w:t>
      </w:r>
      <w:r w:rsidRPr="00416323">
        <w:rPr>
          <w:b/>
          <w:bCs/>
          <w:color w:val="222222"/>
        </w:rPr>
        <w:t>U.S. Department of Labor mandated audits</w:t>
      </w:r>
    </w:p>
    <w:p w14:paraId="65C72897" w14:textId="77777777" w:rsidR="00416323" w:rsidRPr="00416323" w:rsidRDefault="00416323" w:rsidP="00416323">
      <w:pPr>
        <w:shd w:val="clear" w:color="auto" w:fill="FFFFFF"/>
        <w:spacing w:line="288" w:lineRule="atLeast"/>
        <w:rPr>
          <w:color w:val="222222"/>
        </w:rPr>
      </w:pPr>
      <w:r w:rsidRPr="00416323">
        <w:rPr>
          <w:color w:val="222222"/>
        </w:rPr>
        <w:t> </w:t>
      </w:r>
    </w:p>
    <w:p w14:paraId="246D0F36" w14:textId="77777777" w:rsidR="00416323" w:rsidRPr="00416323" w:rsidRDefault="00416323" w:rsidP="00416323">
      <w:pPr>
        <w:shd w:val="clear" w:color="auto" w:fill="FFFFFF"/>
        <w:spacing w:line="288" w:lineRule="atLeast"/>
        <w:rPr>
          <w:color w:val="222222"/>
        </w:rPr>
      </w:pPr>
      <w:r w:rsidRPr="00416323">
        <w:rPr>
          <w:color w:val="222222"/>
        </w:rPr>
        <w:t>For decades USDOL has mandated that the Division of Unemployment Insurance conduct audits of Maryland businesses to encourage compliance. This was true long before the passage of the Workplace Fraud Act of 2009. Before 2009, unrelated to Maryland law, USDOL required that randomly 2% of Maryland’s businesses be audited for UI compliance purposes, including the review of whether employees were misclassified as independent contractors. However, in 2009, again unrelated to Maryland law, USDOL changed its audit mandate, and required UI to conduct some of its audits driven by data about where potential violators might be found. Such a strategy not only saves precious investigatory resources, but also spares those playing by the rules from the trouble of an audit. </w:t>
      </w:r>
    </w:p>
    <w:p w14:paraId="06ED42BE" w14:textId="77777777" w:rsidR="00416323" w:rsidRPr="00416323" w:rsidRDefault="00416323" w:rsidP="00416323">
      <w:pPr>
        <w:shd w:val="clear" w:color="auto" w:fill="FFFFFF"/>
        <w:spacing w:line="288" w:lineRule="atLeast"/>
        <w:rPr>
          <w:color w:val="222222"/>
        </w:rPr>
      </w:pPr>
      <w:r w:rsidRPr="00416323">
        <w:rPr>
          <w:color w:val="222222"/>
        </w:rPr>
        <w:t> </w:t>
      </w:r>
    </w:p>
    <w:p w14:paraId="5726285F" w14:textId="77777777" w:rsidR="00416323" w:rsidRPr="00416323" w:rsidRDefault="00416323" w:rsidP="00416323">
      <w:pPr>
        <w:shd w:val="clear" w:color="auto" w:fill="FFFFFF"/>
        <w:spacing w:line="288" w:lineRule="atLeast"/>
        <w:rPr>
          <w:color w:val="222222"/>
        </w:rPr>
      </w:pPr>
      <w:r w:rsidRPr="00416323">
        <w:rPr>
          <w:color w:val="222222"/>
        </w:rPr>
        <w:lastRenderedPageBreak/>
        <w:t xml:space="preserve">In 2019, the tax paying employers in the State of Maryland increased to one hundred and forty-five thousand, nine hundred thirty-seven (145,937) and the state’s reported gross wages increased exponentially to $120.6 billion. Conversely, the USDOL funding of state unemployment insurance program declined tremendously leaving the State with fewer auditors to cover Maryland’s employing community. In 2020, the Division continued to implement strategic audit assignment selection method alongside the improved tax audit system to ensure continued audit effectiveness and quality results. The Division was on target to meet and exceed the USDOL measures as of March 31, 2020, but unfortunately, the COVID-19 pandemic negatively impacted the field audit effort tremendously. The pandemic business climate did not permit the field auditors to perform their audit assignments at full capacity, and the field auditors were temporarily reassigned to processing special </w:t>
      </w:r>
      <w:bookmarkStart w:id="0" w:name="_Hlk60673321"/>
      <w:r w:rsidRPr="00416323">
        <w:rPr>
          <w:color w:val="222222"/>
        </w:rPr>
        <w:t>federal Pandemic Unemployment Assistance claims</w:t>
      </w:r>
      <w:bookmarkEnd w:id="0"/>
      <w:r w:rsidRPr="00416323">
        <w:rPr>
          <w:color w:val="222222"/>
        </w:rPr>
        <w:t xml:space="preserve">. Even USDOL recognized the difficulty in conducting audits during the initial COVID-19 pandemic environment and suspended field audit assignments from March 15 through July 31, 2020; field audit assignments were resumed on Monday, August 3, 2020 but with much lower performance capacity because of the pandemic era. The audit assignments continue to be performed remotely in order to prevent the spread of the COVID-19 virus. The field auditors continue to be partially utilized to process the unprecedented volume of the federal Pandemic Unemployment Assistance claims. Also, we continue to educate Maryland employers on the UI Law of covered employment in an effort to improve their compliance and provide excellent customer service.  </w:t>
      </w:r>
    </w:p>
    <w:p w14:paraId="6DE7AAF0" w14:textId="77777777" w:rsidR="00416323" w:rsidRPr="00416323" w:rsidRDefault="00416323" w:rsidP="00416323">
      <w:pPr>
        <w:shd w:val="clear" w:color="auto" w:fill="FFFFFF"/>
        <w:spacing w:line="288" w:lineRule="atLeast"/>
        <w:rPr>
          <w:color w:val="222222"/>
        </w:rPr>
      </w:pPr>
      <w:r w:rsidRPr="00416323">
        <w:rPr>
          <w:color w:val="222222"/>
        </w:rPr>
        <w:t> </w:t>
      </w:r>
    </w:p>
    <w:p w14:paraId="6B959EA3" w14:textId="20CB97C5" w:rsidR="00416323" w:rsidRPr="00416323" w:rsidRDefault="00416323" w:rsidP="00416323">
      <w:pPr>
        <w:shd w:val="clear" w:color="auto" w:fill="FFFFFF"/>
        <w:spacing w:line="288" w:lineRule="atLeast"/>
        <w:rPr>
          <w:color w:val="222222"/>
        </w:rPr>
      </w:pPr>
      <w:r w:rsidRPr="00416323">
        <w:rPr>
          <w:color w:val="222222"/>
        </w:rPr>
        <w:t>Maryland Department of Labor’s DUI has a proven history of quality audit results. In 2014, Maryland also scored the second highest in the nation in the minimum measurement scores, has the highest effective audit measure of the states that passed, and is the only state in our region (Region 2 includes Delaware, District of Columbia, Pennsylvania, Virginia, and West Virginia) to receive a passing grade. USDOL encouraged the efforts of the division in combating misclassification of workers by awarding Maryland with a “High Performance Bonus” of $400,099 in 2014, one of four states in the nation to receive the “High Performance Bonus” that year. In addition, USDOL rated Maryland the “Highest Performing State.” USDOL’s high rating is an indication of the quality and effectiveness of the Maryland Division of Unemployment’s audit program which ensures that Maryland employers are in compliance with the Maryland UI law and report covered workers.          </w:t>
      </w:r>
    </w:p>
    <w:p w14:paraId="65F3D151" w14:textId="77777777" w:rsidR="00416323" w:rsidRPr="00416323" w:rsidRDefault="00416323" w:rsidP="00416323">
      <w:pPr>
        <w:shd w:val="clear" w:color="auto" w:fill="FFFFFF"/>
        <w:spacing w:line="288" w:lineRule="atLeast"/>
        <w:rPr>
          <w:color w:val="222222"/>
        </w:rPr>
      </w:pPr>
      <w:r w:rsidRPr="00416323">
        <w:rPr>
          <w:color w:val="222222"/>
        </w:rPr>
        <w:t>   </w:t>
      </w:r>
    </w:p>
    <w:tbl>
      <w:tblPr>
        <w:tblW w:w="9470" w:type="dxa"/>
        <w:tblInd w:w="108" w:type="dxa"/>
        <w:tblCellMar>
          <w:left w:w="0" w:type="dxa"/>
          <w:right w:w="0" w:type="dxa"/>
        </w:tblCellMar>
        <w:tblLook w:val="04A0" w:firstRow="1" w:lastRow="0" w:firstColumn="1" w:lastColumn="0" w:noHBand="0" w:noVBand="1"/>
      </w:tblPr>
      <w:tblGrid>
        <w:gridCol w:w="997"/>
        <w:gridCol w:w="1778"/>
        <w:gridCol w:w="1186"/>
        <w:gridCol w:w="1015"/>
        <w:gridCol w:w="1706"/>
        <w:gridCol w:w="2788"/>
      </w:tblGrid>
      <w:tr w:rsidR="00416323" w:rsidRPr="00416323" w14:paraId="642BF09C" w14:textId="77777777" w:rsidTr="002800ED">
        <w:trPr>
          <w:trHeight w:val="1641"/>
        </w:trPr>
        <w:tc>
          <w:tcPr>
            <w:tcW w:w="99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5B2053D" w14:textId="77777777" w:rsidR="00416323" w:rsidRPr="00416323" w:rsidRDefault="00416323" w:rsidP="002800ED">
            <w:pPr>
              <w:jc w:val="center"/>
            </w:pPr>
            <w:r w:rsidRPr="00416323">
              <w:rPr>
                <w:b/>
                <w:bCs/>
                <w:color w:val="000000"/>
              </w:rPr>
              <w:t>Year</w:t>
            </w:r>
          </w:p>
        </w:tc>
        <w:tc>
          <w:tcPr>
            <w:tcW w:w="177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97FD5D2" w14:textId="77777777" w:rsidR="00416323" w:rsidRPr="00416323" w:rsidRDefault="00416323" w:rsidP="002800ED">
            <w:pPr>
              <w:jc w:val="center"/>
            </w:pPr>
            <w:r w:rsidRPr="00416323">
              <w:rPr>
                <w:b/>
                <w:bCs/>
                <w:color w:val="000000"/>
              </w:rPr>
              <w:t>Total DOL Mandated Audits</w:t>
            </w:r>
          </w:p>
        </w:tc>
        <w:tc>
          <w:tcPr>
            <w:tcW w:w="1186" w:type="dxa"/>
            <w:tcBorders>
              <w:top w:val="single" w:sz="8" w:space="0" w:color="auto"/>
              <w:left w:val="nil"/>
              <w:bottom w:val="single" w:sz="8" w:space="0" w:color="auto"/>
              <w:right w:val="single" w:sz="4" w:space="0" w:color="auto"/>
            </w:tcBorders>
            <w:shd w:val="clear" w:color="auto" w:fill="C0C0C0"/>
          </w:tcPr>
          <w:p w14:paraId="283A98E8" w14:textId="77777777" w:rsidR="00416323" w:rsidRPr="00416323" w:rsidRDefault="00416323" w:rsidP="002800ED">
            <w:pPr>
              <w:jc w:val="center"/>
              <w:rPr>
                <w:b/>
                <w:bCs/>
                <w:color w:val="000000"/>
              </w:rPr>
            </w:pPr>
          </w:p>
          <w:p w14:paraId="6B08B7EC" w14:textId="77777777" w:rsidR="00416323" w:rsidRPr="00416323" w:rsidRDefault="00416323" w:rsidP="002800ED">
            <w:pPr>
              <w:jc w:val="center"/>
              <w:rPr>
                <w:b/>
                <w:bCs/>
                <w:color w:val="000000"/>
              </w:rPr>
            </w:pPr>
            <w:r w:rsidRPr="00416323">
              <w:rPr>
                <w:b/>
                <w:bCs/>
                <w:color w:val="000000"/>
              </w:rPr>
              <w:t>Total Completed</w:t>
            </w:r>
          </w:p>
          <w:p w14:paraId="4884C90D" w14:textId="77777777" w:rsidR="00416323" w:rsidRPr="00416323" w:rsidRDefault="00416323" w:rsidP="002800ED">
            <w:pPr>
              <w:jc w:val="center"/>
              <w:rPr>
                <w:b/>
                <w:bCs/>
                <w:color w:val="000000"/>
              </w:rPr>
            </w:pPr>
            <w:r w:rsidRPr="00416323">
              <w:rPr>
                <w:b/>
                <w:bCs/>
                <w:color w:val="000000"/>
              </w:rPr>
              <w:t>Audits</w:t>
            </w:r>
          </w:p>
        </w:tc>
        <w:tc>
          <w:tcPr>
            <w:tcW w:w="1015" w:type="dxa"/>
            <w:tcBorders>
              <w:top w:val="single" w:sz="8" w:space="0" w:color="auto"/>
              <w:left w:val="single" w:sz="4"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921DC5A" w14:textId="77777777" w:rsidR="00416323" w:rsidRPr="00416323" w:rsidRDefault="00416323" w:rsidP="002800ED">
            <w:pPr>
              <w:jc w:val="center"/>
            </w:pPr>
            <w:r w:rsidRPr="00416323">
              <w:rPr>
                <w:b/>
                <w:bCs/>
                <w:color w:val="000000"/>
              </w:rPr>
              <w:t>Data Driven DOL Audits</w:t>
            </w:r>
          </w:p>
        </w:tc>
        <w:tc>
          <w:tcPr>
            <w:tcW w:w="170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30F405D" w14:textId="77777777" w:rsidR="00416323" w:rsidRPr="00416323" w:rsidRDefault="00416323" w:rsidP="002800ED">
            <w:pPr>
              <w:jc w:val="center"/>
            </w:pPr>
            <w:r w:rsidRPr="00416323">
              <w:rPr>
                <w:b/>
                <w:bCs/>
                <w:color w:val="000000"/>
              </w:rPr>
              <w:t>Total Workers Found in Completed Audits</w:t>
            </w:r>
          </w:p>
        </w:tc>
        <w:tc>
          <w:tcPr>
            <w:tcW w:w="278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B24F731" w14:textId="77777777" w:rsidR="00416323" w:rsidRPr="00416323" w:rsidRDefault="00416323" w:rsidP="002800ED">
            <w:pPr>
              <w:jc w:val="center"/>
            </w:pPr>
            <w:r w:rsidRPr="00416323">
              <w:rPr>
                <w:b/>
                <w:bCs/>
                <w:color w:val="000000"/>
              </w:rPr>
              <w:t>Taxable Wages Unreported</w:t>
            </w:r>
          </w:p>
        </w:tc>
      </w:tr>
      <w:tr w:rsidR="00416323" w:rsidRPr="00416323" w14:paraId="5824FD57" w14:textId="77777777" w:rsidTr="002800ED">
        <w:trPr>
          <w:trHeight w:val="325"/>
        </w:trPr>
        <w:tc>
          <w:tcPr>
            <w:tcW w:w="996" w:type="dxa"/>
            <w:tcBorders>
              <w:top w:val="nil"/>
              <w:left w:val="single" w:sz="8" w:space="0" w:color="auto"/>
              <w:bottom w:val="single" w:sz="8" w:space="0" w:color="auto"/>
              <w:right w:val="nil"/>
            </w:tcBorders>
            <w:shd w:val="clear" w:color="auto" w:fill="C0C0C0"/>
            <w:noWrap/>
            <w:tcMar>
              <w:top w:w="0" w:type="dxa"/>
              <w:left w:w="108" w:type="dxa"/>
              <w:bottom w:w="0" w:type="dxa"/>
              <w:right w:w="108" w:type="dxa"/>
            </w:tcMar>
            <w:vAlign w:val="center"/>
            <w:hideMark/>
          </w:tcPr>
          <w:p w14:paraId="04BA7A66" w14:textId="77777777" w:rsidR="00416323" w:rsidRPr="00416323" w:rsidRDefault="00416323" w:rsidP="002800ED">
            <w:pPr>
              <w:jc w:val="center"/>
            </w:pPr>
            <w:r w:rsidRPr="00416323">
              <w:rPr>
                <w:color w:val="000000"/>
              </w:rPr>
              <w:t>2009</w:t>
            </w:r>
          </w:p>
        </w:tc>
        <w:tc>
          <w:tcPr>
            <w:tcW w:w="1778"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00F659D9" w14:textId="77777777" w:rsidR="00416323" w:rsidRPr="00416323" w:rsidRDefault="00416323" w:rsidP="002800ED">
            <w:pPr>
              <w:jc w:val="center"/>
            </w:pPr>
            <w:r w:rsidRPr="00416323">
              <w:rPr>
                <w:color w:val="000000"/>
              </w:rPr>
              <w:t>1,399</w:t>
            </w:r>
          </w:p>
        </w:tc>
        <w:tc>
          <w:tcPr>
            <w:tcW w:w="1186" w:type="dxa"/>
            <w:tcBorders>
              <w:top w:val="single" w:sz="8" w:space="0" w:color="auto"/>
              <w:left w:val="nil"/>
              <w:bottom w:val="single" w:sz="8" w:space="0" w:color="auto"/>
              <w:right w:val="single" w:sz="4" w:space="0" w:color="auto"/>
            </w:tcBorders>
            <w:shd w:val="clear" w:color="auto" w:fill="C0C0C0"/>
          </w:tcPr>
          <w:p w14:paraId="05E1958E" w14:textId="77777777" w:rsidR="00416323" w:rsidRPr="00416323" w:rsidRDefault="00416323" w:rsidP="002800ED">
            <w:pPr>
              <w:jc w:val="center"/>
              <w:rPr>
                <w:color w:val="000000"/>
              </w:rPr>
            </w:pPr>
            <w:r w:rsidRPr="00416323">
              <w:rPr>
                <w:color w:val="000000"/>
              </w:rPr>
              <w:t>2,810</w:t>
            </w:r>
          </w:p>
        </w:tc>
        <w:tc>
          <w:tcPr>
            <w:tcW w:w="1015" w:type="dxa"/>
            <w:tcBorders>
              <w:top w:val="nil"/>
              <w:left w:val="single" w:sz="4"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3A331326" w14:textId="77777777" w:rsidR="00416323" w:rsidRPr="00416323" w:rsidRDefault="00416323" w:rsidP="002800ED">
            <w:pPr>
              <w:jc w:val="center"/>
            </w:pPr>
            <w:r w:rsidRPr="00416323">
              <w:rPr>
                <w:color w:val="000000"/>
              </w:rPr>
              <w:t>1,617</w:t>
            </w:r>
          </w:p>
        </w:tc>
        <w:tc>
          <w:tcPr>
            <w:tcW w:w="170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54725E5F" w14:textId="77777777" w:rsidR="00416323" w:rsidRPr="00416323" w:rsidRDefault="00416323" w:rsidP="002800ED">
            <w:pPr>
              <w:jc w:val="center"/>
            </w:pPr>
            <w:r w:rsidRPr="00416323">
              <w:rPr>
                <w:color w:val="000000"/>
              </w:rPr>
              <w:t>10,265</w:t>
            </w:r>
          </w:p>
        </w:tc>
        <w:tc>
          <w:tcPr>
            <w:tcW w:w="2787"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429B3AA1" w14:textId="77777777" w:rsidR="00416323" w:rsidRPr="00416323" w:rsidRDefault="00416323" w:rsidP="002800ED">
            <w:pPr>
              <w:jc w:val="center"/>
            </w:pPr>
            <w:r w:rsidRPr="00416323">
              <w:rPr>
                <w:color w:val="000000"/>
              </w:rPr>
              <w:t>$59,227,749</w:t>
            </w:r>
          </w:p>
        </w:tc>
      </w:tr>
      <w:tr w:rsidR="00416323" w:rsidRPr="00416323" w14:paraId="7D8903AC" w14:textId="77777777" w:rsidTr="002800ED">
        <w:trPr>
          <w:trHeight w:val="310"/>
        </w:trPr>
        <w:tc>
          <w:tcPr>
            <w:tcW w:w="996" w:type="dxa"/>
            <w:tcBorders>
              <w:top w:val="nil"/>
              <w:left w:val="single" w:sz="8" w:space="0" w:color="auto"/>
              <w:bottom w:val="nil"/>
              <w:right w:val="single" w:sz="8" w:space="0" w:color="auto"/>
            </w:tcBorders>
            <w:shd w:val="clear" w:color="auto" w:fill="C0C0C0"/>
            <w:noWrap/>
            <w:tcMar>
              <w:top w:w="0" w:type="dxa"/>
              <w:left w:w="108" w:type="dxa"/>
              <w:bottom w:w="0" w:type="dxa"/>
              <w:right w:w="108" w:type="dxa"/>
            </w:tcMar>
            <w:vAlign w:val="center"/>
            <w:hideMark/>
          </w:tcPr>
          <w:p w14:paraId="1E17DE0E" w14:textId="77777777" w:rsidR="00416323" w:rsidRPr="00416323" w:rsidRDefault="00416323" w:rsidP="002800ED">
            <w:pPr>
              <w:jc w:val="center"/>
            </w:pPr>
            <w:r w:rsidRPr="00416323">
              <w:rPr>
                <w:color w:val="000000"/>
              </w:rPr>
              <w:t>2010</w:t>
            </w:r>
          </w:p>
        </w:tc>
        <w:tc>
          <w:tcPr>
            <w:tcW w:w="1778" w:type="dxa"/>
            <w:tcBorders>
              <w:top w:val="nil"/>
              <w:left w:val="nil"/>
              <w:bottom w:val="nil"/>
              <w:right w:val="single" w:sz="8" w:space="0" w:color="auto"/>
            </w:tcBorders>
            <w:shd w:val="clear" w:color="auto" w:fill="C0C0C0"/>
            <w:noWrap/>
            <w:tcMar>
              <w:top w:w="0" w:type="dxa"/>
              <w:left w:w="108" w:type="dxa"/>
              <w:bottom w:w="0" w:type="dxa"/>
              <w:right w:w="108" w:type="dxa"/>
            </w:tcMar>
            <w:vAlign w:val="center"/>
            <w:hideMark/>
          </w:tcPr>
          <w:p w14:paraId="14AE84B3" w14:textId="77777777" w:rsidR="00416323" w:rsidRPr="00416323" w:rsidRDefault="00416323" w:rsidP="002800ED">
            <w:pPr>
              <w:jc w:val="center"/>
            </w:pPr>
            <w:r w:rsidRPr="00416323">
              <w:rPr>
                <w:color w:val="000000"/>
              </w:rPr>
              <w:t>1,339</w:t>
            </w:r>
          </w:p>
        </w:tc>
        <w:tc>
          <w:tcPr>
            <w:tcW w:w="1186" w:type="dxa"/>
            <w:tcBorders>
              <w:top w:val="single" w:sz="8" w:space="0" w:color="auto"/>
              <w:left w:val="nil"/>
              <w:bottom w:val="single" w:sz="8" w:space="0" w:color="auto"/>
              <w:right w:val="single" w:sz="4" w:space="0" w:color="auto"/>
            </w:tcBorders>
            <w:shd w:val="clear" w:color="auto" w:fill="C0C0C0"/>
          </w:tcPr>
          <w:p w14:paraId="062570B1" w14:textId="77777777" w:rsidR="00416323" w:rsidRPr="00416323" w:rsidRDefault="00416323" w:rsidP="002800ED">
            <w:pPr>
              <w:jc w:val="center"/>
              <w:rPr>
                <w:color w:val="000000"/>
              </w:rPr>
            </w:pPr>
            <w:r w:rsidRPr="00416323">
              <w:rPr>
                <w:color w:val="000000"/>
              </w:rPr>
              <w:t>2,675</w:t>
            </w:r>
          </w:p>
        </w:tc>
        <w:tc>
          <w:tcPr>
            <w:tcW w:w="1015" w:type="dxa"/>
            <w:tcBorders>
              <w:top w:val="nil"/>
              <w:left w:val="single" w:sz="4" w:space="0" w:color="auto"/>
              <w:bottom w:val="nil"/>
              <w:right w:val="single" w:sz="8" w:space="0" w:color="auto"/>
            </w:tcBorders>
            <w:shd w:val="clear" w:color="auto" w:fill="C0C0C0"/>
            <w:noWrap/>
            <w:tcMar>
              <w:top w:w="0" w:type="dxa"/>
              <w:left w:w="108" w:type="dxa"/>
              <w:bottom w:w="0" w:type="dxa"/>
              <w:right w:w="108" w:type="dxa"/>
            </w:tcMar>
            <w:vAlign w:val="center"/>
            <w:hideMark/>
          </w:tcPr>
          <w:p w14:paraId="6560E97A" w14:textId="77777777" w:rsidR="00416323" w:rsidRPr="00416323" w:rsidRDefault="00416323" w:rsidP="002800ED">
            <w:pPr>
              <w:jc w:val="center"/>
            </w:pPr>
            <w:r w:rsidRPr="00416323">
              <w:rPr>
                <w:color w:val="000000"/>
              </w:rPr>
              <w:t>1,657</w:t>
            </w:r>
          </w:p>
        </w:tc>
        <w:tc>
          <w:tcPr>
            <w:tcW w:w="1706" w:type="dxa"/>
            <w:tcBorders>
              <w:top w:val="nil"/>
              <w:left w:val="nil"/>
              <w:bottom w:val="nil"/>
              <w:right w:val="single" w:sz="8" w:space="0" w:color="auto"/>
            </w:tcBorders>
            <w:shd w:val="clear" w:color="auto" w:fill="C0C0C0"/>
            <w:noWrap/>
            <w:tcMar>
              <w:top w:w="0" w:type="dxa"/>
              <w:left w:w="108" w:type="dxa"/>
              <w:bottom w:w="0" w:type="dxa"/>
              <w:right w:w="108" w:type="dxa"/>
            </w:tcMar>
            <w:vAlign w:val="center"/>
            <w:hideMark/>
          </w:tcPr>
          <w:p w14:paraId="51E9C97B" w14:textId="77777777" w:rsidR="00416323" w:rsidRPr="00416323" w:rsidRDefault="00416323" w:rsidP="002800ED">
            <w:pPr>
              <w:jc w:val="center"/>
            </w:pPr>
            <w:r w:rsidRPr="00416323">
              <w:rPr>
                <w:color w:val="000000"/>
              </w:rPr>
              <w:t>10,951</w:t>
            </w:r>
          </w:p>
        </w:tc>
        <w:tc>
          <w:tcPr>
            <w:tcW w:w="2787" w:type="dxa"/>
            <w:tcBorders>
              <w:top w:val="nil"/>
              <w:left w:val="nil"/>
              <w:bottom w:val="nil"/>
              <w:right w:val="single" w:sz="8" w:space="0" w:color="auto"/>
            </w:tcBorders>
            <w:shd w:val="clear" w:color="auto" w:fill="C0C0C0"/>
            <w:noWrap/>
            <w:tcMar>
              <w:top w:w="0" w:type="dxa"/>
              <w:left w:w="108" w:type="dxa"/>
              <w:bottom w:w="0" w:type="dxa"/>
              <w:right w:w="108" w:type="dxa"/>
            </w:tcMar>
            <w:vAlign w:val="center"/>
            <w:hideMark/>
          </w:tcPr>
          <w:p w14:paraId="10E35D8F" w14:textId="77777777" w:rsidR="00416323" w:rsidRPr="00416323" w:rsidRDefault="00416323" w:rsidP="002800ED">
            <w:pPr>
              <w:jc w:val="center"/>
            </w:pPr>
            <w:r w:rsidRPr="00416323">
              <w:rPr>
                <w:color w:val="000000"/>
              </w:rPr>
              <w:t>$53,376,239</w:t>
            </w:r>
          </w:p>
        </w:tc>
      </w:tr>
      <w:tr w:rsidR="00416323" w:rsidRPr="00416323" w14:paraId="18525B3C" w14:textId="77777777" w:rsidTr="002800ED">
        <w:trPr>
          <w:trHeight w:val="325"/>
        </w:trPr>
        <w:tc>
          <w:tcPr>
            <w:tcW w:w="996"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0C5EDDB1" w14:textId="77777777" w:rsidR="00416323" w:rsidRPr="00416323" w:rsidRDefault="00416323" w:rsidP="002800ED">
            <w:pPr>
              <w:jc w:val="center"/>
            </w:pPr>
            <w:r w:rsidRPr="00416323">
              <w:rPr>
                <w:color w:val="000000"/>
              </w:rPr>
              <w:t>2011</w:t>
            </w:r>
          </w:p>
        </w:tc>
        <w:tc>
          <w:tcPr>
            <w:tcW w:w="177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E6B7AB0" w14:textId="77777777" w:rsidR="00416323" w:rsidRPr="00416323" w:rsidRDefault="00416323" w:rsidP="002800ED">
            <w:pPr>
              <w:jc w:val="center"/>
            </w:pPr>
            <w:r w:rsidRPr="00416323">
              <w:rPr>
                <w:color w:val="000000"/>
              </w:rPr>
              <w:t>1,343</w:t>
            </w:r>
          </w:p>
        </w:tc>
        <w:tc>
          <w:tcPr>
            <w:tcW w:w="1186" w:type="dxa"/>
            <w:tcBorders>
              <w:top w:val="single" w:sz="8" w:space="0" w:color="auto"/>
              <w:left w:val="nil"/>
              <w:bottom w:val="single" w:sz="8" w:space="0" w:color="auto"/>
              <w:right w:val="single" w:sz="4" w:space="0" w:color="auto"/>
            </w:tcBorders>
            <w:shd w:val="clear" w:color="auto" w:fill="C0C0C0"/>
          </w:tcPr>
          <w:p w14:paraId="6C4E6BEE" w14:textId="77777777" w:rsidR="00416323" w:rsidRPr="00416323" w:rsidRDefault="00416323" w:rsidP="002800ED">
            <w:pPr>
              <w:jc w:val="center"/>
              <w:rPr>
                <w:color w:val="000000"/>
              </w:rPr>
            </w:pPr>
            <w:r w:rsidRPr="00416323">
              <w:rPr>
                <w:color w:val="000000"/>
              </w:rPr>
              <w:t>2,086</w:t>
            </w:r>
          </w:p>
        </w:tc>
        <w:tc>
          <w:tcPr>
            <w:tcW w:w="1015" w:type="dxa"/>
            <w:tcBorders>
              <w:top w:val="single" w:sz="8" w:space="0" w:color="auto"/>
              <w:left w:val="single" w:sz="4"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78F79EE" w14:textId="77777777" w:rsidR="00416323" w:rsidRPr="00416323" w:rsidRDefault="00416323" w:rsidP="002800ED">
            <w:pPr>
              <w:jc w:val="center"/>
            </w:pPr>
            <w:r w:rsidRPr="00416323">
              <w:rPr>
                <w:color w:val="000000"/>
              </w:rPr>
              <w:t>1,519</w:t>
            </w:r>
          </w:p>
        </w:tc>
        <w:tc>
          <w:tcPr>
            <w:tcW w:w="170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76456BA9" w14:textId="77777777" w:rsidR="00416323" w:rsidRPr="00416323" w:rsidRDefault="00416323" w:rsidP="002800ED">
            <w:pPr>
              <w:jc w:val="center"/>
            </w:pPr>
            <w:r w:rsidRPr="00416323">
              <w:rPr>
                <w:color w:val="000000"/>
              </w:rPr>
              <w:t>12,715</w:t>
            </w:r>
          </w:p>
        </w:tc>
        <w:tc>
          <w:tcPr>
            <w:tcW w:w="2787"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6040282E" w14:textId="77777777" w:rsidR="00416323" w:rsidRPr="00416323" w:rsidRDefault="00416323" w:rsidP="002800ED">
            <w:pPr>
              <w:jc w:val="center"/>
            </w:pPr>
            <w:r w:rsidRPr="00416323">
              <w:rPr>
                <w:color w:val="000000"/>
              </w:rPr>
              <w:t>$58,074,178</w:t>
            </w:r>
          </w:p>
        </w:tc>
      </w:tr>
      <w:tr w:rsidR="00416323" w:rsidRPr="00416323" w14:paraId="04DBE8C1" w14:textId="77777777" w:rsidTr="002800ED">
        <w:trPr>
          <w:trHeight w:val="325"/>
        </w:trPr>
        <w:tc>
          <w:tcPr>
            <w:tcW w:w="996"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A82BD34" w14:textId="77777777" w:rsidR="00416323" w:rsidRPr="00416323" w:rsidRDefault="00416323" w:rsidP="002800ED">
            <w:pPr>
              <w:jc w:val="center"/>
            </w:pPr>
            <w:r w:rsidRPr="00416323">
              <w:rPr>
                <w:color w:val="000000"/>
              </w:rPr>
              <w:t>2012</w:t>
            </w:r>
          </w:p>
        </w:tc>
        <w:tc>
          <w:tcPr>
            <w:tcW w:w="177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74A13467" w14:textId="77777777" w:rsidR="00416323" w:rsidRPr="00416323" w:rsidRDefault="00416323" w:rsidP="002800ED">
            <w:pPr>
              <w:jc w:val="center"/>
            </w:pPr>
            <w:r w:rsidRPr="00416323">
              <w:rPr>
                <w:color w:val="000000"/>
              </w:rPr>
              <w:t>1,339</w:t>
            </w:r>
          </w:p>
        </w:tc>
        <w:tc>
          <w:tcPr>
            <w:tcW w:w="1186" w:type="dxa"/>
            <w:tcBorders>
              <w:top w:val="single" w:sz="8" w:space="0" w:color="auto"/>
              <w:left w:val="nil"/>
              <w:bottom w:val="single" w:sz="8" w:space="0" w:color="auto"/>
              <w:right w:val="single" w:sz="4" w:space="0" w:color="auto"/>
            </w:tcBorders>
            <w:shd w:val="clear" w:color="auto" w:fill="C0C0C0"/>
          </w:tcPr>
          <w:p w14:paraId="67643C51" w14:textId="77777777" w:rsidR="00416323" w:rsidRPr="00416323" w:rsidRDefault="00416323" w:rsidP="002800ED">
            <w:pPr>
              <w:jc w:val="center"/>
              <w:rPr>
                <w:color w:val="000000"/>
              </w:rPr>
            </w:pPr>
            <w:r w:rsidRPr="00416323">
              <w:rPr>
                <w:color w:val="000000"/>
              </w:rPr>
              <w:t>1,769</w:t>
            </w:r>
          </w:p>
        </w:tc>
        <w:tc>
          <w:tcPr>
            <w:tcW w:w="1015" w:type="dxa"/>
            <w:tcBorders>
              <w:top w:val="nil"/>
              <w:left w:val="single" w:sz="4"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0B6AD4A8" w14:textId="77777777" w:rsidR="00416323" w:rsidRPr="00416323" w:rsidRDefault="00416323" w:rsidP="002800ED">
            <w:pPr>
              <w:jc w:val="center"/>
            </w:pPr>
            <w:r w:rsidRPr="00416323">
              <w:rPr>
                <w:color w:val="000000"/>
              </w:rPr>
              <w:t>1,569</w:t>
            </w:r>
          </w:p>
        </w:tc>
        <w:tc>
          <w:tcPr>
            <w:tcW w:w="170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C6CF3B8" w14:textId="77777777" w:rsidR="00416323" w:rsidRPr="00416323" w:rsidRDefault="00416323" w:rsidP="002800ED">
            <w:pPr>
              <w:jc w:val="center"/>
            </w:pPr>
            <w:r w:rsidRPr="00416323">
              <w:rPr>
                <w:color w:val="000000"/>
              </w:rPr>
              <w:t>11,899</w:t>
            </w:r>
          </w:p>
        </w:tc>
        <w:tc>
          <w:tcPr>
            <w:tcW w:w="2787"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ACEA6A6" w14:textId="77777777" w:rsidR="00416323" w:rsidRPr="00416323" w:rsidRDefault="00416323" w:rsidP="002800ED">
            <w:pPr>
              <w:jc w:val="center"/>
            </w:pPr>
            <w:r w:rsidRPr="00416323">
              <w:rPr>
                <w:color w:val="000000"/>
              </w:rPr>
              <w:t>$58,097,828</w:t>
            </w:r>
          </w:p>
        </w:tc>
      </w:tr>
      <w:tr w:rsidR="00416323" w:rsidRPr="00416323" w14:paraId="4B583CA9" w14:textId="77777777" w:rsidTr="002800ED">
        <w:trPr>
          <w:trHeight w:val="325"/>
        </w:trPr>
        <w:tc>
          <w:tcPr>
            <w:tcW w:w="996"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037CDB4E" w14:textId="77777777" w:rsidR="00416323" w:rsidRPr="00416323" w:rsidRDefault="00416323" w:rsidP="002800ED">
            <w:pPr>
              <w:jc w:val="center"/>
            </w:pPr>
            <w:r w:rsidRPr="00416323">
              <w:rPr>
                <w:color w:val="000000"/>
              </w:rPr>
              <w:t>2013</w:t>
            </w:r>
          </w:p>
        </w:tc>
        <w:tc>
          <w:tcPr>
            <w:tcW w:w="177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67F5F2BC" w14:textId="77777777" w:rsidR="00416323" w:rsidRPr="00416323" w:rsidRDefault="00416323" w:rsidP="002800ED">
            <w:pPr>
              <w:jc w:val="center"/>
            </w:pPr>
            <w:r w:rsidRPr="00416323">
              <w:rPr>
                <w:color w:val="000000"/>
              </w:rPr>
              <w:t>1,348</w:t>
            </w:r>
          </w:p>
        </w:tc>
        <w:tc>
          <w:tcPr>
            <w:tcW w:w="1186" w:type="dxa"/>
            <w:tcBorders>
              <w:top w:val="single" w:sz="8" w:space="0" w:color="auto"/>
              <w:left w:val="nil"/>
              <w:bottom w:val="single" w:sz="8" w:space="0" w:color="auto"/>
              <w:right w:val="single" w:sz="4" w:space="0" w:color="auto"/>
            </w:tcBorders>
            <w:shd w:val="clear" w:color="auto" w:fill="C0C0C0"/>
          </w:tcPr>
          <w:p w14:paraId="616E075D" w14:textId="77777777" w:rsidR="00416323" w:rsidRPr="00416323" w:rsidRDefault="00416323" w:rsidP="002800ED">
            <w:pPr>
              <w:jc w:val="center"/>
              <w:rPr>
                <w:color w:val="000000"/>
              </w:rPr>
            </w:pPr>
            <w:r w:rsidRPr="00416323">
              <w:rPr>
                <w:color w:val="000000"/>
              </w:rPr>
              <w:t>2,270</w:t>
            </w:r>
          </w:p>
        </w:tc>
        <w:tc>
          <w:tcPr>
            <w:tcW w:w="1015" w:type="dxa"/>
            <w:tcBorders>
              <w:top w:val="nil"/>
              <w:left w:val="single" w:sz="4"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551D584B" w14:textId="77777777" w:rsidR="00416323" w:rsidRPr="00416323" w:rsidRDefault="00416323" w:rsidP="002800ED">
            <w:pPr>
              <w:jc w:val="center"/>
            </w:pPr>
            <w:r w:rsidRPr="00416323">
              <w:rPr>
                <w:color w:val="000000"/>
              </w:rPr>
              <w:t>1,182</w:t>
            </w:r>
          </w:p>
        </w:tc>
        <w:tc>
          <w:tcPr>
            <w:tcW w:w="170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61D12975" w14:textId="77777777" w:rsidR="00416323" w:rsidRPr="00416323" w:rsidRDefault="00416323" w:rsidP="002800ED">
            <w:pPr>
              <w:jc w:val="center"/>
            </w:pPr>
            <w:r w:rsidRPr="00416323">
              <w:rPr>
                <w:color w:val="000000"/>
              </w:rPr>
              <w:t>9,223</w:t>
            </w:r>
          </w:p>
        </w:tc>
        <w:tc>
          <w:tcPr>
            <w:tcW w:w="2787"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30306325" w14:textId="77777777" w:rsidR="00416323" w:rsidRPr="00416323" w:rsidRDefault="00416323" w:rsidP="002800ED">
            <w:pPr>
              <w:jc w:val="center"/>
            </w:pPr>
            <w:r w:rsidRPr="00416323">
              <w:rPr>
                <w:color w:val="000000"/>
              </w:rPr>
              <w:t>$39,396,299</w:t>
            </w:r>
          </w:p>
        </w:tc>
      </w:tr>
      <w:tr w:rsidR="00416323" w:rsidRPr="00416323" w14:paraId="3CD2E9C3" w14:textId="77777777" w:rsidTr="002800ED">
        <w:trPr>
          <w:trHeight w:val="325"/>
        </w:trPr>
        <w:tc>
          <w:tcPr>
            <w:tcW w:w="996"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31BFE68" w14:textId="77777777" w:rsidR="00416323" w:rsidRPr="00416323" w:rsidRDefault="00416323" w:rsidP="002800ED">
            <w:pPr>
              <w:jc w:val="center"/>
            </w:pPr>
            <w:r w:rsidRPr="00416323">
              <w:rPr>
                <w:color w:val="000000"/>
              </w:rPr>
              <w:lastRenderedPageBreak/>
              <w:t>2014</w:t>
            </w:r>
          </w:p>
        </w:tc>
        <w:tc>
          <w:tcPr>
            <w:tcW w:w="177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33FB9B8C" w14:textId="77777777" w:rsidR="00416323" w:rsidRPr="00416323" w:rsidRDefault="00416323" w:rsidP="002800ED">
            <w:pPr>
              <w:jc w:val="center"/>
            </w:pPr>
            <w:r w:rsidRPr="00416323">
              <w:rPr>
                <w:color w:val="000000"/>
              </w:rPr>
              <w:t>1,364</w:t>
            </w:r>
          </w:p>
        </w:tc>
        <w:tc>
          <w:tcPr>
            <w:tcW w:w="1186" w:type="dxa"/>
            <w:tcBorders>
              <w:top w:val="single" w:sz="8" w:space="0" w:color="auto"/>
              <w:left w:val="nil"/>
              <w:bottom w:val="single" w:sz="8" w:space="0" w:color="auto"/>
              <w:right w:val="single" w:sz="4" w:space="0" w:color="auto"/>
            </w:tcBorders>
            <w:shd w:val="clear" w:color="auto" w:fill="C0C0C0"/>
          </w:tcPr>
          <w:p w14:paraId="568B1370" w14:textId="77777777" w:rsidR="00416323" w:rsidRPr="00416323" w:rsidRDefault="00416323" w:rsidP="002800ED">
            <w:pPr>
              <w:jc w:val="center"/>
              <w:rPr>
                <w:color w:val="000000"/>
              </w:rPr>
            </w:pPr>
            <w:r w:rsidRPr="00416323">
              <w:rPr>
                <w:color w:val="000000"/>
              </w:rPr>
              <w:t>2,212</w:t>
            </w:r>
          </w:p>
        </w:tc>
        <w:tc>
          <w:tcPr>
            <w:tcW w:w="1015" w:type="dxa"/>
            <w:tcBorders>
              <w:top w:val="nil"/>
              <w:left w:val="single" w:sz="4"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307597C4" w14:textId="77777777" w:rsidR="00416323" w:rsidRPr="00416323" w:rsidRDefault="00416323" w:rsidP="002800ED">
            <w:pPr>
              <w:jc w:val="center"/>
            </w:pPr>
            <w:r w:rsidRPr="00416323">
              <w:rPr>
                <w:color w:val="000000"/>
              </w:rPr>
              <w:t>1,659</w:t>
            </w:r>
          </w:p>
        </w:tc>
        <w:tc>
          <w:tcPr>
            <w:tcW w:w="170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A4BF925" w14:textId="77777777" w:rsidR="00416323" w:rsidRPr="00416323" w:rsidRDefault="00416323" w:rsidP="002800ED">
            <w:pPr>
              <w:jc w:val="center"/>
            </w:pPr>
            <w:r w:rsidRPr="00416323">
              <w:rPr>
                <w:color w:val="000000"/>
              </w:rPr>
              <w:t>7,811</w:t>
            </w:r>
          </w:p>
        </w:tc>
        <w:tc>
          <w:tcPr>
            <w:tcW w:w="2787"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3FA1CA19" w14:textId="77777777" w:rsidR="00416323" w:rsidRPr="00416323" w:rsidRDefault="00416323" w:rsidP="002800ED">
            <w:pPr>
              <w:jc w:val="center"/>
            </w:pPr>
            <w:r w:rsidRPr="00416323">
              <w:rPr>
                <w:color w:val="000000"/>
              </w:rPr>
              <w:t>$31,273,346</w:t>
            </w:r>
          </w:p>
        </w:tc>
      </w:tr>
      <w:tr w:rsidR="00416323" w:rsidRPr="00416323" w14:paraId="0A6823E5" w14:textId="77777777" w:rsidTr="002800ED">
        <w:trPr>
          <w:trHeight w:val="325"/>
        </w:trPr>
        <w:tc>
          <w:tcPr>
            <w:tcW w:w="996"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025EBF07" w14:textId="77777777" w:rsidR="00416323" w:rsidRPr="00416323" w:rsidRDefault="00416323" w:rsidP="002800ED">
            <w:pPr>
              <w:jc w:val="center"/>
            </w:pPr>
            <w:r w:rsidRPr="00416323">
              <w:rPr>
                <w:color w:val="000000"/>
              </w:rPr>
              <w:t>2015</w:t>
            </w:r>
          </w:p>
        </w:tc>
        <w:tc>
          <w:tcPr>
            <w:tcW w:w="177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07D31336" w14:textId="77777777" w:rsidR="00416323" w:rsidRPr="00416323" w:rsidRDefault="00416323" w:rsidP="002800ED">
            <w:pPr>
              <w:jc w:val="center"/>
            </w:pPr>
            <w:r w:rsidRPr="00416323">
              <w:rPr>
                <w:color w:val="000000"/>
              </w:rPr>
              <w:t>1,366</w:t>
            </w:r>
          </w:p>
        </w:tc>
        <w:tc>
          <w:tcPr>
            <w:tcW w:w="1186" w:type="dxa"/>
            <w:tcBorders>
              <w:top w:val="single" w:sz="8" w:space="0" w:color="auto"/>
              <w:left w:val="nil"/>
              <w:bottom w:val="single" w:sz="8" w:space="0" w:color="auto"/>
              <w:right w:val="single" w:sz="4" w:space="0" w:color="auto"/>
            </w:tcBorders>
            <w:shd w:val="clear" w:color="auto" w:fill="C0C0C0"/>
          </w:tcPr>
          <w:p w14:paraId="4794C3C7" w14:textId="77777777" w:rsidR="00416323" w:rsidRPr="00416323" w:rsidRDefault="00416323" w:rsidP="002800ED">
            <w:pPr>
              <w:jc w:val="center"/>
              <w:rPr>
                <w:color w:val="000000"/>
              </w:rPr>
            </w:pPr>
            <w:r w:rsidRPr="00416323">
              <w:rPr>
                <w:color w:val="000000"/>
              </w:rPr>
              <w:t>1,921</w:t>
            </w:r>
          </w:p>
        </w:tc>
        <w:tc>
          <w:tcPr>
            <w:tcW w:w="1015" w:type="dxa"/>
            <w:tcBorders>
              <w:top w:val="nil"/>
              <w:left w:val="single" w:sz="4"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31278CDD" w14:textId="77777777" w:rsidR="00416323" w:rsidRPr="00416323" w:rsidRDefault="00416323" w:rsidP="002800ED">
            <w:pPr>
              <w:jc w:val="center"/>
            </w:pPr>
            <w:r w:rsidRPr="00416323">
              <w:rPr>
                <w:color w:val="000000"/>
              </w:rPr>
              <w:t>1,829</w:t>
            </w:r>
          </w:p>
        </w:tc>
        <w:tc>
          <w:tcPr>
            <w:tcW w:w="170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5553D433" w14:textId="77777777" w:rsidR="00416323" w:rsidRPr="00416323" w:rsidRDefault="00416323" w:rsidP="002800ED">
            <w:pPr>
              <w:jc w:val="center"/>
            </w:pPr>
            <w:r w:rsidRPr="00416323">
              <w:rPr>
                <w:color w:val="000000"/>
              </w:rPr>
              <w:t>9,141</w:t>
            </w:r>
          </w:p>
        </w:tc>
        <w:tc>
          <w:tcPr>
            <w:tcW w:w="2787"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0C00812C" w14:textId="77777777" w:rsidR="00416323" w:rsidRPr="00416323" w:rsidRDefault="00416323" w:rsidP="002800ED">
            <w:pPr>
              <w:jc w:val="center"/>
            </w:pPr>
            <w:r w:rsidRPr="00416323">
              <w:rPr>
                <w:color w:val="000000"/>
              </w:rPr>
              <w:t>$46,598,991</w:t>
            </w:r>
          </w:p>
        </w:tc>
      </w:tr>
      <w:tr w:rsidR="00416323" w:rsidRPr="00416323" w14:paraId="1AAE2D13" w14:textId="77777777" w:rsidTr="002800ED">
        <w:trPr>
          <w:trHeight w:val="325"/>
        </w:trPr>
        <w:tc>
          <w:tcPr>
            <w:tcW w:w="996"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5835B06D" w14:textId="77777777" w:rsidR="00416323" w:rsidRPr="00416323" w:rsidRDefault="00416323" w:rsidP="002800ED">
            <w:pPr>
              <w:jc w:val="center"/>
            </w:pPr>
            <w:r w:rsidRPr="00416323">
              <w:rPr>
                <w:color w:val="000000"/>
              </w:rPr>
              <w:t>2016</w:t>
            </w:r>
          </w:p>
        </w:tc>
        <w:tc>
          <w:tcPr>
            <w:tcW w:w="177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EBE3432" w14:textId="77777777" w:rsidR="00416323" w:rsidRPr="00416323" w:rsidRDefault="00416323" w:rsidP="002800ED">
            <w:pPr>
              <w:jc w:val="center"/>
            </w:pPr>
            <w:r w:rsidRPr="00416323">
              <w:rPr>
                <w:color w:val="000000"/>
              </w:rPr>
              <w:t>1,402</w:t>
            </w:r>
          </w:p>
        </w:tc>
        <w:tc>
          <w:tcPr>
            <w:tcW w:w="1186" w:type="dxa"/>
            <w:tcBorders>
              <w:top w:val="single" w:sz="8" w:space="0" w:color="auto"/>
              <w:left w:val="nil"/>
              <w:bottom w:val="single" w:sz="8" w:space="0" w:color="auto"/>
              <w:right w:val="single" w:sz="4" w:space="0" w:color="auto"/>
            </w:tcBorders>
            <w:shd w:val="clear" w:color="auto" w:fill="C0C0C0"/>
          </w:tcPr>
          <w:p w14:paraId="01E5198A" w14:textId="77777777" w:rsidR="00416323" w:rsidRPr="00416323" w:rsidRDefault="00416323" w:rsidP="002800ED">
            <w:pPr>
              <w:jc w:val="center"/>
              <w:rPr>
                <w:color w:val="000000"/>
              </w:rPr>
            </w:pPr>
            <w:r w:rsidRPr="00416323">
              <w:rPr>
                <w:color w:val="000000"/>
              </w:rPr>
              <w:t>1,684</w:t>
            </w:r>
          </w:p>
        </w:tc>
        <w:tc>
          <w:tcPr>
            <w:tcW w:w="1015" w:type="dxa"/>
            <w:tcBorders>
              <w:top w:val="nil"/>
              <w:left w:val="single" w:sz="4"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4D117F86" w14:textId="77777777" w:rsidR="00416323" w:rsidRPr="00416323" w:rsidRDefault="00416323" w:rsidP="002800ED">
            <w:pPr>
              <w:jc w:val="center"/>
            </w:pPr>
            <w:r w:rsidRPr="00416323">
              <w:rPr>
                <w:color w:val="000000"/>
              </w:rPr>
              <w:t>1,645</w:t>
            </w:r>
          </w:p>
        </w:tc>
        <w:tc>
          <w:tcPr>
            <w:tcW w:w="170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335620F5" w14:textId="77777777" w:rsidR="00416323" w:rsidRPr="00416323" w:rsidRDefault="00416323" w:rsidP="002800ED">
            <w:pPr>
              <w:jc w:val="center"/>
            </w:pPr>
            <w:r w:rsidRPr="00416323">
              <w:rPr>
                <w:color w:val="000000"/>
              </w:rPr>
              <w:t>7,584</w:t>
            </w:r>
          </w:p>
        </w:tc>
        <w:tc>
          <w:tcPr>
            <w:tcW w:w="2787"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0A3B295B" w14:textId="77777777" w:rsidR="00416323" w:rsidRPr="00416323" w:rsidRDefault="00416323" w:rsidP="002800ED">
            <w:pPr>
              <w:jc w:val="center"/>
            </w:pPr>
            <w:r w:rsidRPr="00416323">
              <w:rPr>
                <w:color w:val="000000"/>
              </w:rPr>
              <w:t>$36,259,922</w:t>
            </w:r>
          </w:p>
        </w:tc>
      </w:tr>
      <w:tr w:rsidR="00416323" w:rsidRPr="00416323" w14:paraId="49D5CC44" w14:textId="77777777" w:rsidTr="002800ED">
        <w:trPr>
          <w:trHeight w:val="325"/>
        </w:trPr>
        <w:tc>
          <w:tcPr>
            <w:tcW w:w="996"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7040167" w14:textId="77777777" w:rsidR="00416323" w:rsidRPr="00416323" w:rsidRDefault="00416323" w:rsidP="002800ED">
            <w:pPr>
              <w:jc w:val="center"/>
            </w:pPr>
            <w:r w:rsidRPr="00416323">
              <w:rPr>
                <w:color w:val="222222"/>
              </w:rPr>
              <w:t> </w:t>
            </w:r>
            <w:r w:rsidRPr="00416323">
              <w:rPr>
                <w:color w:val="000000"/>
              </w:rPr>
              <w:t>2017</w:t>
            </w:r>
          </w:p>
        </w:tc>
        <w:tc>
          <w:tcPr>
            <w:tcW w:w="177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5FB69B8A" w14:textId="77777777" w:rsidR="00416323" w:rsidRPr="00416323" w:rsidRDefault="00416323" w:rsidP="002800ED">
            <w:pPr>
              <w:jc w:val="center"/>
            </w:pPr>
            <w:r w:rsidRPr="00416323">
              <w:t>1,423</w:t>
            </w:r>
          </w:p>
        </w:tc>
        <w:tc>
          <w:tcPr>
            <w:tcW w:w="1186" w:type="dxa"/>
            <w:tcBorders>
              <w:top w:val="single" w:sz="8" w:space="0" w:color="auto"/>
              <w:left w:val="nil"/>
              <w:bottom w:val="single" w:sz="8" w:space="0" w:color="auto"/>
              <w:right w:val="single" w:sz="4" w:space="0" w:color="auto"/>
            </w:tcBorders>
            <w:shd w:val="clear" w:color="auto" w:fill="C0C0C0"/>
          </w:tcPr>
          <w:p w14:paraId="7B79F624" w14:textId="77777777" w:rsidR="00416323" w:rsidRPr="00416323" w:rsidRDefault="00416323" w:rsidP="002800ED">
            <w:pPr>
              <w:jc w:val="center"/>
              <w:rPr>
                <w:color w:val="000000"/>
              </w:rPr>
            </w:pPr>
            <w:r w:rsidRPr="00416323">
              <w:rPr>
                <w:color w:val="000000"/>
              </w:rPr>
              <w:t>1,618</w:t>
            </w:r>
          </w:p>
        </w:tc>
        <w:tc>
          <w:tcPr>
            <w:tcW w:w="1015" w:type="dxa"/>
            <w:tcBorders>
              <w:top w:val="nil"/>
              <w:left w:val="single" w:sz="4" w:space="0" w:color="auto"/>
              <w:bottom w:val="single" w:sz="8" w:space="0" w:color="auto"/>
              <w:right w:val="single" w:sz="8" w:space="0" w:color="auto"/>
            </w:tcBorders>
            <w:shd w:val="clear" w:color="auto" w:fill="C0C0C0"/>
            <w:noWrap/>
            <w:tcMar>
              <w:top w:w="0" w:type="dxa"/>
              <w:left w:w="108" w:type="dxa"/>
              <w:bottom w:w="0" w:type="dxa"/>
              <w:right w:w="108" w:type="dxa"/>
            </w:tcMar>
            <w:vAlign w:val="center"/>
          </w:tcPr>
          <w:p w14:paraId="10E4AA55" w14:textId="77777777" w:rsidR="00416323" w:rsidRPr="00416323" w:rsidRDefault="00416323" w:rsidP="002800ED">
            <w:pPr>
              <w:jc w:val="center"/>
            </w:pPr>
            <w:r w:rsidRPr="00416323">
              <w:t>1,586</w:t>
            </w:r>
          </w:p>
        </w:tc>
        <w:tc>
          <w:tcPr>
            <w:tcW w:w="170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tcPr>
          <w:p w14:paraId="2F673E0B" w14:textId="77777777" w:rsidR="00416323" w:rsidRPr="00416323" w:rsidRDefault="00416323" w:rsidP="002800ED">
            <w:pPr>
              <w:jc w:val="center"/>
            </w:pPr>
            <w:r w:rsidRPr="00416323">
              <w:t>6,853</w:t>
            </w:r>
          </w:p>
        </w:tc>
        <w:tc>
          <w:tcPr>
            <w:tcW w:w="2787"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tcPr>
          <w:p w14:paraId="26C40A8F" w14:textId="77777777" w:rsidR="00416323" w:rsidRPr="00416323" w:rsidRDefault="00416323" w:rsidP="002800ED">
            <w:pPr>
              <w:jc w:val="center"/>
            </w:pPr>
            <w:r w:rsidRPr="00416323">
              <w:t>$35,262,825</w:t>
            </w:r>
          </w:p>
        </w:tc>
      </w:tr>
      <w:tr w:rsidR="00416323" w:rsidRPr="00416323" w14:paraId="12C7F72B" w14:textId="77777777" w:rsidTr="002800ED">
        <w:trPr>
          <w:trHeight w:val="325"/>
        </w:trPr>
        <w:tc>
          <w:tcPr>
            <w:tcW w:w="996"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A0A2F03" w14:textId="77777777" w:rsidR="00416323" w:rsidRPr="00416323" w:rsidRDefault="00416323" w:rsidP="002800ED">
            <w:pPr>
              <w:jc w:val="center"/>
            </w:pPr>
            <w:r w:rsidRPr="00416323">
              <w:rPr>
                <w:color w:val="222222"/>
              </w:rPr>
              <w:t> </w:t>
            </w:r>
            <w:r w:rsidRPr="00416323">
              <w:rPr>
                <w:color w:val="000000"/>
              </w:rPr>
              <w:t>2018</w:t>
            </w:r>
          </w:p>
        </w:tc>
        <w:tc>
          <w:tcPr>
            <w:tcW w:w="177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63BA458D" w14:textId="77777777" w:rsidR="00416323" w:rsidRPr="00416323" w:rsidRDefault="00416323" w:rsidP="002800ED">
            <w:pPr>
              <w:jc w:val="center"/>
            </w:pPr>
            <w:r w:rsidRPr="00416323">
              <w:t>1,437</w:t>
            </w:r>
          </w:p>
        </w:tc>
        <w:tc>
          <w:tcPr>
            <w:tcW w:w="1186" w:type="dxa"/>
            <w:tcBorders>
              <w:top w:val="single" w:sz="8" w:space="0" w:color="auto"/>
              <w:left w:val="nil"/>
              <w:bottom w:val="single" w:sz="8" w:space="0" w:color="auto"/>
              <w:right w:val="single" w:sz="4" w:space="0" w:color="auto"/>
            </w:tcBorders>
            <w:shd w:val="clear" w:color="auto" w:fill="C0C0C0"/>
          </w:tcPr>
          <w:p w14:paraId="7C0B2CA7" w14:textId="77777777" w:rsidR="00416323" w:rsidRPr="00416323" w:rsidRDefault="00416323" w:rsidP="002800ED">
            <w:pPr>
              <w:jc w:val="center"/>
              <w:rPr>
                <w:color w:val="000000"/>
              </w:rPr>
            </w:pPr>
            <w:r w:rsidRPr="00416323">
              <w:rPr>
                <w:color w:val="000000"/>
              </w:rPr>
              <w:t>2,124</w:t>
            </w:r>
          </w:p>
        </w:tc>
        <w:tc>
          <w:tcPr>
            <w:tcW w:w="1015" w:type="dxa"/>
            <w:tcBorders>
              <w:top w:val="nil"/>
              <w:left w:val="single" w:sz="4" w:space="0" w:color="auto"/>
              <w:bottom w:val="single" w:sz="8" w:space="0" w:color="auto"/>
              <w:right w:val="single" w:sz="8" w:space="0" w:color="auto"/>
            </w:tcBorders>
            <w:shd w:val="clear" w:color="auto" w:fill="C0C0C0"/>
            <w:noWrap/>
            <w:tcMar>
              <w:top w:w="0" w:type="dxa"/>
              <w:left w:w="108" w:type="dxa"/>
              <w:bottom w:w="0" w:type="dxa"/>
              <w:right w:w="108" w:type="dxa"/>
            </w:tcMar>
            <w:vAlign w:val="center"/>
          </w:tcPr>
          <w:p w14:paraId="53BCFB3A" w14:textId="77777777" w:rsidR="00416323" w:rsidRPr="00416323" w:rsidRDefault="00416323" w:rsidP="002800ED">
            <w:pPr>
              <w:jc w:val="center"/>
            </w:pPr>
            <w:r w:rsidRPr="00416323">
              <w:t>2,046</w:t>
            </w:r>
          </w:p>
        </w:tc>
        <w:tc>
          <w:tcPr>
            <w:tcW w:w="170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tcPr>
          <w:p w14:paraId="13FEC3F4" w14:textId="77777777" w:rsidR="00416323" w:rsidRPr="00416323" w:rsidRDefault="00416323" w:rsidP="002800ED">
            <w:pPr>
              <w:jc w:val="center"/>
            </w:pPr>
            <w:r w:rsidRPr="00416323">
              <w:t>9,344</w:t>
            </w:r>
          </w:p>
        </w:tc>
        <w:tc>
          <w:tcPr>
            <w:tcW w:w="2787"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tcPr>
          <w:p w14:paraId="2FB01FFD" w14:textId="77777777" w:rsidR="00416323" w:rsidRPr="00416323" w:rsidRDefault="00416323" w:rsidP="002800ED">
            <w:pPr>
              <w:jc w:val="center"/>
            </w:pPr>
            <w:r w:rsidRPr="00416323">
              <w:t>$42,806,603</w:t>
            </w:r>
          </w:p>
        </w:tc>
      </w:tr>
      <w:tr w:rsidR="00416323" w:rsidRPr="00416323" w14:paraId="41B17B27" w14:textId="77777777" w:rsidTr="002800ED">
        <w:trPr>
          <w:trHeight w:val="325"/>
        </w:trPr>
        <w:tc>
          <w:tcPr>
            <w:tcW w:w="996"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C61E053" w14:textId="77777777" w:rsidR="00416323" w:rsidRPr="00416323" w:rsidRDefault="00416323" w:rsidP="002800ED">
            <w:pPr>
              <w:jc w:val="center"/>
            </w:pPr>
            <w:r w:rsidRPr="00416323">
              <w:rPr>
                <w:color w:val="222222"/>
              </w:rPr>
              <w:t> </w:t>
            </w:r>
            <w:r w:rsidRPr="00416323">
              <w:rPr>
                <w:color w:val="000000"/>
              </w:rPr>
              <w:t>2019</w:t>
            </w:r>
          </w:p>
        </w:tc>
        <w:tc>
          <w:tcPr>
            <w:tcW w:w="177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71E7905D" w14:textId="77777777" w:rsidR="00416323" w:rsidRPr="00416323" w:rsidRDefault="00416323" w:rsidP="002800ED">
            <w:pPr>
              <w:jc w:val="center"/>
            </w:pPr>
            <w:r w:rsidRPr="00416323">
              <w:t>1,448</w:t>
            </w:r>
          </w:p>
        </w:tc>
        <w:tc>
          <w:tcPr>
            <w:tcW w:w="1186" w:type="dxa"/>
            <w:tcBorders>
              <w:top w:val="single" w:sz="8" w:space="0" w:color="auto"/>
              <w:left w:val="nil"/>
              <w:bottom w:val="single" w:sz="8" w:space="0" w:color="auto"/>
              <w:right w:val="single" w:sz="4" w:space="0" w:color="auto"/>
            </w:tcBorders>
            <w:shd w:val="clear" w:color="auto" w:fill="C0C0C0"/>
          </w:tcPr>
          <w:p w14:paraId="5B9A332C" w14:textId="77777777" w:rsidR="00416323" w:rsidRPr="00416323" w:rsidRDefault="00416323" w:rsidP="002800ED">
            <w:pPr>
              <w:jc w:val="center"/>
              <w:rPr>
                <w:color w:val="000000"/>
              </w:rPr>
            </w:pPr>
            <w:r w:rsidRPr="00416323">
              <w:rPr>
                <w:color w:val="000000"/>
              </w:rPr>
              <w:t>1,662</w:t>
            </w:r>
          </w:p>
        </w:tc>
        <w:tc>
          <w:tcPr>
            <w:tcW w:w="1015" w:type="dxa"/>
            <w:tcBorders>
              <w:top w:val="nil"/>
              <w:left w:val="single" w:sz="4" w:space="0" w:color="auto"/>
              <w:bottom w:val="single" w:sz="8" w:space="0" w:color="auto"/>
              <w:right w:val="single" w:sz="8" w:space="0" w:color="auto"/>
            </w:tcBorders>
            <w:shd w:val="clear" w:color="auto" w:fill="C0C0C0"/>
            <w:noWrap/>
            <w:tcMar>
              <w:top w:w="0" w:type="dxa"/>
              <w:left w:w="108" w:type="dxa"/>
              <w:bottom w:w="0" w:type="dxa"/>
              <w:right w:w="108" w:type="dxa"/>
            </w:tcMar>
            <w:vAlign w:val="center"/>
          </w:tcPr>
          <w:p w14:paraId="45AA14B2" w14:textId="77777777" w:rsidR="00416323" w:rsidRPr="00416323" w:rsidRDefault="00416323" w:rsidP="002800ED">
            <w:pPr>
              <w:jc w:val="center"/>
            </w:pPr>
            <w:r w:rsidRPr="00416323">
              <w:t>1,391</w:t>
            </w:r>
          </w:p>
        </w:tc>
        <w:tc>
          <w:tcPr>
            <w:tcW w:w="170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tcPr>
          <w:p w14:paraId="28E8D837" w14:textId="77777777" w:rsidR="00416323" w:rsidRPr="00416323" w:rsidRDefault="00416323" w:rsidP="002800ED">
            <w:pPr>
              <w:jc w:val="center"/>
            </w:pPr>
            <w:r w:rsidRPr="00416323">
              <w:t>9,462</w:t>
            </w:r>
          </w:p>
        </w:tc>
        <w:tc>
          <w:tcPr>
            <w:tcW w:w="2787"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tcPr>
          <w:p w14:paraId="07BB90DF" w14:textId="77777777" w:rsidR="00416323" w:rsidRPr="00416323" w:rsidRDefault="00416323" w:rsidP="002800ED">
            <w:pPr>
              <w:jc w:val="center"/>
            </w:pPr>
            <w:r w:rsidRPr="00416323">
              <w:t>$52,235,733</w:t>
            </w:r>
          </w:p>
        </w:tc>
      </w:tr>
      <w:tr w:rsidR="00416323" w:rsidRPr="00416323" w14:paraId="4F6FF8AA" w14:textId="77777777" w:rsidTr="002800ED">
        <w:trPr>
          <w:trHeight w:val="325"/>
        </w:trPr>
        <w:tc>
          <w:tcPr>
            <w:tcW w:w="996"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50CE4D3A" w14:textId="77777777" w:rsidR="00416323" w:rsidRPr="00416323" w:rsidRDefault="00416323" w:rsidP="002800ED">
            <w:pPr>
              <w:jc w:val="center"/>
            </w:pPr>
            <w:r w:rsidRPr="00416323">
              <w:rPr>
                <w:color w:val="222222"/>
              </w:rPr>
              <w:t> </w:t>
            </w:r>
            <w:r w:rsidRPr="00416323">
              <w:rPr>
                <w:color w:val="000000"/>
              </w:rPr>
              <w:t>2020</w:t>
            </w:r>
          </w:p>
        </w:tc>
        <w:tc>
          <w:tcPr>
            <w:tcW w:w="177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5757D8B" w14:textId="77777777" w:rsidR="00416323" w:rsidRPr="00416323" w:rsidRDefault="00416323" w:rsidP="002800ED">
            <w:pPr>
              <w:jc w:val="center"/>
            </w:pPr>
            <w:r w:rsidRPr="00416323">
              <w:t>1,460</w:t>
            </w:r>
          </w:p>
        </w:tc>
        <w:tc>
          <w:tcPr>
            <w:tcW w:w="1186" w:type="dxa"/>
            <w:tcBorders>
              <w:top w:val="single" w:sz="8" w:space="0" w:color="auto"/>
              <w:left w:val="nil"/>
              <w:bottom w:val="single" w:sz="8" w:space="0" w:color="auto"/>
              <w:right w:val="single" w:sz="4" w:space="0" w:color="auto"/>
            </w:tcBorders>
            <w:shd w:val="clear" w:color="auto" w:fill="C0C0C0"/>
          </w:tcPr>
          <w:p w14:paraId="575DFE4F" w14:textId="77777777" w:rsidR="00416323" w:rsidRPr="00416323" w:rsidRDefault="00416323" w:rsidP="002800ED">
            <w:pPr>
              <w:jc w:val="center"/>
              <w:rPr>
                <w:color w:val="000000"/>
              </w:rPr>
            </w:pPr>
            <w:r w:rsidRPr="00416323">
              <w:rPr>
                <w:color w:val="000000"/>
              </w:rPr>
              <w:t>703</w:t>
            </w:r>
          </w:p>
        </w:tc>
        <w:tc>
          <w:tcPr>
            <w:tcW w:w="1015" w:type="dxa"/>
            <w:tcBorders>
              <w:top w:val="nil"/>
              <w:left w:val="single" w:sz="4" w:space="0" w:color="auto"/>
              <w:bottom w:val="single" w:sz="8" w:space="0" w:color="auto"/>
              <w:right w:val="single" w:sz="8" w:space="0" w:color="auto"/>
            </w:tcBorders>
            <w:shd w:val="clear" w:color="auto" w:fill="C0C0C0"/>
            <w:noWrap/>
            <w:tcMar>
              <w:top w:w="0" w:type="dxa"/>
              <w:left w:w="108" w:type="dxa"/>
              <w:bottom w:w="0" w:type="dxa"/>
              <w:right w:w="108" w:type="dxa"/>
            </w:tcMar>
            <w:vAlign w:val="center"/>
          </w:tcPr>
          <w:p w14:paraId="4BF1FB1C" w14:textId="77777777" w:rsidR="00416323" w:rsidRPr="00416323" w:rsidRDefault="00416323" w:rsidP="002800ED">
            <w:pPr>
              <w:jc w:val="center"/>
            </w:pPr>
            <w:r w:rsidRPr="00416323">
              <w:t>464</w:t>
            </w:r>
          </w:p>
        </w:tc>
        <w:tc>
          <w:tcPr>
            <w:tcW w:w="170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tcPr>
          <w:p w14:paraId="1D3B35EB" w14:textId="77777777" w:rsidR="00416323" w:rsidRPr="00416323" w:rsidRDefault="00416323" w:rsidP="002800ED">
            <w:pPr>
              <w:jc w:val="center"/>
            </w:pPr>
            <w:r w:rsidRPr="00416323">
              <w:t>4,406</w:t>
            </w:r>
          </w:p>
        </w:tc>
        <w:tc>
          <w:tcPr>
            <w:tcW w:w="2787"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tcPr>
          <w:p w14:paraId="03903C8F" w14:textId="77777777" w:rsidR="00416323" w:rsidRPr="00416323" w:rsidRDefault="00416323" w:rsidP="002800ED">
            <w:pPr>
              <w:jc w:val="center"/>
            </w:pPr>
            <w:r w:rsidRPr="00416323">
              <w:t>$30,297,599</w:t>
            </w:r>
          </w:p>
        </w:tc>
      </w:tr>
    </w:tbl>
    <w:p w14:paraId="15A36CE0" w14:textId="77777777" w:rsidR="00416323" w:rsidRPr="00416323" w:rsidRDefault="00416323" w:rsidP="00416323">
      <w:pPr>
        <w:shd w:val="clear" w:color="auto" w:fill="FFFFFF"/>
        <w:spacing w:line="288" w:lineRule="atLeast"/>
        <w:rPr>
          <w:color w:val="222222"/>
        </w:rPr>
      </w:pPr>
    </w:p>
    <w:p w14:paraId="39947C0E" w14:textId="77777777" w:rsidR="00416323" w:rsidRPr="00416323" w:rsidRDefault="00416323" w:rsidP="00416323">
      <w:pPr>
        <w:shd w:val="clear" w:color="auto" w:fill="FFFFFF"/>
        <w:spacing w:line="288" w:lineRule="atLeast"/>
        <w:rPr>
          <w:color w:val="222222"/>
        </w:rPr>
      </w:pPr>
    </w:p>
    <w:p w14:paraId="10680526" w14:textId="77777777" w:rsidR="00416323" w:rsidRPr="00416323" w:rsidRDefault="00416323" w:rsidP="00416323">
      <w:pPr>
        <w:shd w:val="clear" w:color="auto" w:fill="FFFFFF"/>
        <w:spacing w:line="288" w:lineRule="atLeast"/>
        <w:ind w:left="1080"/>
        <w:rPr>
          <w:b/>
          <w:bCs/>
          <w:color w:val="222222"/>
        </w:rPr>
      </w:pPr>
    </w:p>
    <w:p w14:paraId="019A310A" w14:textId="77777777" w:rsidR="00416323" w:rsidRPr="00416323" w:rsidRDefault="00416323" w:rsidP="00416323">
      <w:pPr>
        <w:pStyle w:val="ListParagraph"/>
        <w:numPr>
          <w:ilvl w:val="0"/>
          <w:numId w:val="1"/>
        </w:numPr>
        <w:shd w:val="clear" w:color="auto" w:fill="FFFFFF"/>
        <w:spacing w:after="0" w:line="288" w:lineRule="atLeast"/>
        <w:rPr>
          <w:rFonts w:ascii="Times New Roman" w:eastAsia="Times New Roman" w:hAnsi="Times New Roman"/>
          <w:b/>
          <w:bCs/>
          <w:color w:val="222222"/>
          <w:sz w:val="24"/>
          <w:szCs w:val="24"/>
        </w:rPr>
      </w:pPr>
      <w:r w:rsidRPr="00416323">
        <w:rPr>
          <w:rFonts w:ascii="Times New Roman" w:eastAsia="Times New Roman" w:hAnsi="Times New Roman"/>
          <w:b/>
          <w:bCs/>
          <w:color w:val="222222"/>
          <w:sz w:val="24"/>
          <w:szCs w:val="24"/>
        </w:rPr>
        <w:t>Workplace Fraud Act Audits</w:t>
      </w:r>
    </w:p>
    <w:p w14:paraId="135802E2" w14:textId="77777777" w:rsidR="00416323" w:rsidRPr="00416323" w:rsidRDefault="00416323" w:rsidP="00416323">
      <w:pPr>
        <w:pStyle w:val="ListParagraph"/>
        <w:shd w:val="clear" w:color="auto" w:fill="FFFFFF"/>
        <w:spacing w:after="0" w:line="288" w:lineRule="atLeast"/>
        <w:ind w:left="1464"/>
        <w:rPr>
          <w:rFonts w:ascii="Times New Roman" w:eastAsia="Times New Roman" w:hAnsi="Times New Roman"/>
          <w:color w:val="222222"/>
          <w:sz w:val="24"/>
          <w:szCs w:val="24"/>
        </w:rPr>
      </w:pPr>
    </w:p>
    <w:p w14:paraId="32735F10" w14:textId="41BC4412" w:rsidR="00416323" w:rsidRPr="00416323" w:rsidRDefault="00416323" w:rsidP="00416323">
      <w:pPr>
        <w:shd w:val="clear" w:color="auto" w:fill="FFFFFF"/>
        <w:rPr>
          <w:color w:val="222222"/>
        </w:rPr>
      </w:pPr>
      <w:r w:rsidRPr="00416323">
        <w:rPr>
          <w:color w:val="222222"/>
        </w:rPr>
        <w:t>Since 2009, UI auditors have also worked in the context of the Workplace Fraud Act. UI auditors conduct workplace fraud audits following receipt of complaints from the general public, Department of Labor’s inter-office referrals, and due to information sharing from the Joint Enforcement Task Force and other taxing authorities related to suspected workplace fraud. In collaboration with Task Force member agencies, UI auditors perform joint audits with auditors from the Division of Labor and Industry and the Comptroller’s Office.  These data driven audits are performed in industries with a history of large numbers of misclassification issues based on historical data, and on employers with disputed benefit claims resulting from workers misclassified as independent contractors. Directly below is information resulting from those audits from the last eleven years:</w:t>
      </w:r>
    </w:p>
    <w:p w14:paraId="0F12A851" w14:textId="77777777" w:rsidR="00416323" w:rsidRPr="00416323" w:rsidRDefault="00416323" w:rsidP="00416323">
      <w:pPr>
        <w:shd w:val="clear" w:color="auto" w:fill="FFFFFF"/>
        <w:spacing w:line="288" w:lineRule="atLeast"/>
        <w:rPr>
          <w:color w:val="222222"/>
        </w:rPr>
      </w:pPr>
      <w:r w:rsidRPr="00416323">
        <w:rPr>
          <w:color w:val="222222"/>
        </w:rPr>
        <w:t> </w:t>
      </w:r>
    </w:p>
    <w:tbl>
      <w:tblPr>
        <w:tblW w:w="9452" w:type="dxa"/>
        <w:tblInd w:w="108" w:type="dxa"/>
        <w:tblCellMar>
          <w:left w:w="0" w:type="dxa"/>
          <w:right w:w="0" w:type="dxa"/>
        </w:tblCellMar>
        <w:tblLook w:val="04A0" w:firstRow="1" w:lastRow="0" w:firstColumn="1" w:lastColumn="0" w:noHBand="0" w:noVBand="1"/>
      </w:tblPr>
      <w:tblGrid>
        <w:gridCol w:w="901"/>
        <w:gridCol w:w="1620"/>
        <w:gridCol w:w="1710"/>
        <w:gridCol w:w="1800"/>
        <w:gridCol w:w="3421"/>
      </w:tblGrid>
      <w:tr w:rsidR="00416323" w:rsidRPr="00416323" w14:paraId="56EEBC29" w14:textId="77777777" w:rsidTr="002800ED">
        <w:trPr>
          <w:trHeight w:val="1590"/>
        </w:trPr>
        <w:tc>
          <w:tcPr>
            <w:tcW w:w="900"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9CFEFCC" w14:textId="77777777" w:rsidR="00416323" w:rsidRPr="00416323" w:rsidRDefault="00416323" w:rsidP="002800ED">
            <w:pPr>
              <w:jc w:val="center"/>
            </w:pPr>
            <w:r w:rsidRPr="00416323">
              <w:rPr>
                <w:b/>
                <w:bCs/>
                <w:color w:val="000000"/>
              </w:rPr>
              <w:t>Year</w:t>
            </w:r>
          </w:p>
        </w:tc>
        <w:tc>
          <w:tcPr>
            <w:tcW w:w="162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92F486E" w14:textId="77777777" w:rsidR="00416323" w:rsidRPr="00416323" w:rsidRDefault="00416323" w:rsidP="002800ED">
            <w:pPr>
              <w:jc w:val="center"/>
            </w:pPr>
            <w:r w:rsidRPr="00416323">
              <w:rPr>
                <w:b/>
                <w:bCs/>
                <w:color w:val="000000"/>
              </w:rPr>
              <w:t>UI Participation in Workplace Fraud Audits &amp; Joint Audits</w:t>
            </w:r>
          </w:p>
        </w:tc>
        <w:tc>
          <w:tcPr>
            <w:tcW w:w="17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5FA618D" w14:textId="77777777" w:rsidR="00416323" w:rsidRPr="00416323" w:rsidRDefault="00416323" w:rsidP="002800ED">
            <w:pPr>
              <w:jc w:val="center"/>
            </w:pPr>
            <w:r w:rsidRPr="00416323">
              <w:rPr>
                <w:b/>
                <w:bCs/>
                <w:color w:val="000000"/>
              </w:rPr>
              <w:t>New Workers Discovered</w:t>
            </w: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17D43E7" w14:textId="77777777" w:rsidR="00416323" w:rsidRPr="00416323" w:rsidRDefault="00416323" w:rsidP="002800ED">
            <w:pPr>
              <w:jc w:val="center"/>
            </w:pPr>
            <w:r w:rsidRPr="00416323">
              <w:rPr>
                <w:b/>
                <w:bCs/>
                <w:color w:val="000000"/>
              </w:rPr>
              <w:t>Unreported taxable Wages</w:t>
            </w:r>
          </w:p>
        </w:tc>
        <w:tc>
          <w:tcPr>
            <w:tcW w:w="342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DA2BB0D" w14:textId="77777777" w:rsidR="00416323" w:rsidRPr="00416323" w:rsidRDefault="00416323" w:rsidP="002800ED">
            <w:pPr>
              <w:jc w:val="center"/>
            </w:pPr>
            <w:r w:rsidRPr="00416323">
              <w:rPr>
                <w:b/>
                <w:bCs/>
                <w:color w:val="000000"/>
              </w:rPr>
              <w:t>Unreported Tax to Trust Fund</w:t>
            </w:r>
          </w:p>
        </w:tc>
      </w:tr>
      <w:tr w:rsidR="00416323" w:rsidRPr="00416323" w14:paraId="2C013A6A" w14:textId="77777777" w:rsidTr="002800ED">
        <w:trPr>
          <w:trHeight w:val="315"/>
        </w:trPr>
        <w:tc>
          <w:tcPr>
            <w:tcW w:w="900" w:type="dxa"/>
            <w:tcBorders>
              <w:top w:val="nil"/>
              <w:left w:val="single" w:sz="8" w:space="0" w:color="auto"/>
              <w:bottom w:val="single" w:sz="8" w:space="0" w:color="auto"/>
              <w:right w:val="nil"/>
            </w:tcBorders>
            <w:shd w:val="clear" w:color="auto" w:fill="C0C0C0"/>
            <w:noWrap/>
            <w:tcMar>
              <w:top w:w="0" w:type="dxa"/>
              <w:left w:w="108" w:type="dxa"/>
              <w:bottom w:w="0" w:type="dxa"/>
              <w:right w:w="108" w:type="dxa"/>
            </w:tcMar>
            <w:vAlign w:val="center"/>
            <w:hideMark/>
          </w:tcPr>
          <w:p w14:paraId="1FB553F4" w14:textId="77777777" w:rsidR="00416323" w:rsidRPr="00416323" w:rsidRDefault="00416323" w:rsidP="002800ED">
            <w:pPr>
              <w:jc w:val="center"/>
            </w:pPr>
            <w:r w:rsidRPr="00416323">
              <w:rPr>
                <w:color w:val="000000"/>
              </w:rPr>
              <w:t>2009</w:t>
            </w:r>
          </w:p>
        </w:tc>
        <w:tc>
          <w:tcPr>
            <w:tcW w:w="1620"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0A627011" w14:textId="77777777" w:rsidR="00416323" w:rsidRPr="00416323" w:rsidRDefault="00416323" w:rsidP="002800ED">
            <w:pPr>
              <w:jc w:val="center"/>
            </w:pPr>
            <w:r w:rsidRPr="00416323">
              <w:rPr>
                <w:color w:val="000000"/>
              </w:rPr>
              <w:t>2</w:t>
            </w:r>
          </w:p>
        </w:tc>
        <w:tc>
          <w:tcPr>
            <w:tcW w:w="171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7D71E708" w14:textId="77777777" w:rsidR="00416323" w:rsidRPr="00416323" w:rsidRDefault="00416323" w:rsidP="002800ED">
            <w:pPr>
              <w:jc w:val="center"/>
            </w:pPr>
            <w:r w:rsidRPr="00416323">
              <w:rPr>
                <w:color w:val="000000"/>
              </w:rPr>
              <w:t>187</w:t>
            </w:r>
          </w:p>
        </w:tc>
        <w:tc>
          <w:tcPr>
            <w:tcW w:w="180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5B91A37" w14:textId="77777777" w:rsidR="00416323" w:rsidRPr="00416323" w:rsidRDefault="00416323" w:rsidP="002800ED">
            <w:pPr>
              <w:jc w:val="center"/>
            </w:pPr>
            <w:r w:rsidRPr="00416323">
              <w:rPr>
                <w:color w:val="000000"/>
              </w:rPr>
              <w:t>$1,030,791</w:t>
            </w:r>
          </w:p>
        </w:tc>
        <w:tc>
          <w:tcPr>
            <w:tcW w:w="34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792F70A4" w14:textId="77777777" w:rsidR="00416323" w:rsidRPr="00416323" w:rsidRDefault="00416323" w:rsidP="002800ED">
            <w:pPr>
              <w:jc w:val="center"/>
            </w:pPr>
            <w:r w:rsidRPr="00416323">
              <w:rPr>
                <w:color w:val="000000"/>
              </w:rPr>
              <w:t>$17,805</w:t>
            </w:r>
          </w:p>
        </w:tc>
      </w:tr>
      <w:tr w:rsidR="00416323" w:rsidRPr="00416323" w14:paraId="7BDE432B" w14:textId="77777777" w:rsidTr="002800ED">
        <w:trPr>
          <w:trHeight w:val="300"/>
        </w:trPr>
        <w:tc>
          <w:tcPr>
            <w:tcW w:w="900" w:type="dxa"/>
            <w:tcBorders>
              <w:top w:val="nil"/>
              <w:left w:val="single" w:sz="8" w:space="0" w:color="auto"/>
              <w:bottom w:val="nil"/>
              <w:right w:val="single" w:sz="8" w:space="0" w:color="auto"/>
            </w:tcBorders>
            <w:shd w:val="clear" w:color="auto" w:fill="C0C0C0"/>
            <w:noWrap/>
            <w:tcMar>
              <w:top w:w="0" w:type="dxa"/>
              <w:left w:w="108" w:type="dxa"/>
              <w:bottom w:w="0" w:type="dxa"/>
              <w:right w:w="108" w:type="dxa"/>
            </w:tcMar>
            <w:vAlign w:val="center"/>
            <w:hideMark/>
          </w:tcPr>
          <w:p w14:paraId="462AD1A5" w14:textId="77777777" w:rsidR="00416323" w:rsidRPr="00416323" w:rsidRDefault="00416323" w:rsidP="002800ED">
            <w:pPr>
              <w:jc w:val="center"/>
            </w:pPr>
            <w:r w:rsidRPr="00416323">
              <w:rPr>
                <w:color w:val="000000"/>
              </w:rPr>
              <w:t>2010</w:t>
            </w:r>
          </w:p>
        </w:tc>
        <w:tc>
          <w:tcPr>
            <w:tcW w:w="1620" w:type="dxa"/>
            <w:tcBorders>
              <w:top w:val="nil"/>
              <w:left w:val="nil"/>
              <w:bottom w:val="nil"/>
              <w:right w:val="single" w:sz="8" w:space="0" w:color="auto"/>
            </w:tcBorders>
            <w:shd w:val="clear" w:color="auto" w:fill="C0C0C0"/>
            <w:noWrap/>
            <w:tcMar>
              <w:top w:w="0" w:type="dxa"/>
              <w:left w:w="108" w:type="dxa"/>
              <w:bottom w:w="0" w:type="dxa"/>
              <w:right w:w="108" w:type="dxa"/>
            </w:tcMar>
            <w:vAlign w:val="center"/>
            <w:hideMark/>
          </w:tcPr>
          <w:p w14:paraId="73B97850" w14:textId="77777777" w:rsidR="00416323" w:rsidRPr="00416323" w:rsidRDefault="00416323" w:rsidP="002800ED">
            <w:pPr>
              <w:jc w:val="center"/>
            </w:pPr>
            <w:r w:rsidRPr="00416323">
              <w:rPr>
                <w:color w:val="000000"/>
              </w:rPr>
              <w:t>22</w:t>
            </w:r>
          </w:p>
        </w:tc>
        <w:tc>
          <w:tcPr>
            <w:tcW w:w="1710" w:type="dxa"/>
            <w:tcBorders>
              <w:top w:val="nil"/>
              <w:left w:val="nil"/>
              <w:bottom w:val="nil"/>
              <w:right w:val="single" w:sz="8" w:space="0" w:color="auto"/>
            </w:tcBorders>
            <w:shd w:val="clear" w:color="auto" w:fill="C0C0C0"/>
            <w:noWrap/>
            <w:tcMar>
              <w:top w:w="0" w:type="dxa"/>
              <w:left w:w="108" w:type="dxa"/>
              <w:bottom w:w="0" w:type="dxa"/>
              <w:right w:w="108" w:type="dxa"/>
            </w:tcMar>
            <w:vAlign w:val="center"/>
            <w:hideMark/>
          </w:tcPr>
          <w:p w14:paraId="2D4978F2" w14:textId="77777777" w:rsidR="00416323" w:rsidRPr="00416323" w:rsidRDefault="00416323" w:rsidP="002800ED">
            <w:pPr>
              <w:jc w:val="center"/>
            </w:pPr>
            <w:r w:rsidRPr="00416323">
              <w:rPr>
                <w:color w:val="000000"/>
              </w:rPr>
              <w:t>1,094</w:t>
            </w:r>
          </w:p>
        </w:tc>
        <w:tc>
          <w:tcPr>
            <w:tcW w:w="1800" w:type="dxa"/>
            <w:tcBorders>
              <w:top w:val="nil"/>
              <w:left w:val="nil"/>
              <w:bottom w:val="nil"/>
              <w:right w:val="single" w:sz="8" w:space="0" w:color="auto"/>
            </w:tcBorders>
            <w:shd w:val="clear" w:color="auto" w:fill="C0C0C0"/>
            <w:noWrap/>
            <w:tcMar>
              <w:top w:w="0" w:type="dxa"/>
              <w:left w:w="108" w:type="dxa"/>
              <w:bottom w:w="0" w:type="dxa"/>
              <w:right w:w="108" w:type="dxa"/>
            </w:tcMar>
            <w:vAlign w:val="center"/>
            <w:hideMark/>
          </w:tcPr>
          <w:p w14:paraId="76B19455" w14:textId="77777777" w:rsidR="00416323" w:rsidRPr="00416323" w:rsidRDefault="00416323" w:rsidP="002800ED">
            <w:pPr>
              <w:jc w:val="center"/>
            </w:pPr>
            <w:r w:rsidRPr="00416323">
              <w:rPr>
                <w:color w:val="000000"/>
              </w:rPr>
              <w:t>$5,994,629</w:t>
            </w:r>
          </w:p>
        </w:tc>
        <w:tc>
          <w:tcPr>
            <w:tcW w:w="3420" w:type="dxa"/>
            <w:tcBorders>
              <w:top w:val="nil"/>
              <w:left w:val="nil"/>
              <w:bottom w:val="nil"/>
              <w:right w:val="single" w:sz="8" w:space="0" w:color="auto"/>
            </w:tcBorders>
            <w:shd w:val="clear" w:color="auto" w:fill="C0C0C0"/>
            <w:noWrap/>
            <w:tcMar>
              <w:top w:w="0" w:type="dxa"/>
              <w:left w:w="108" w:type="dxa"/>
              <w:bottom w:w="0" w:type="dxa"/>
              <w:right w:w="108" w:type="dxa"/>
            </w:tcMar>
            <w:vAlign w:val="center"/>
            <w:hideMark/>
          </w:tcPr>
          <w:p w14:paraId="15947878" w14:textId="77777777" w:rsidR="00416323" w:rsidRPr="00416323" w:rsidRDefault="00416323" w:rsidP="002800ED">
            <w:pPr>
              <w:jc w:val="center"/>
            </w:pPr>
            <w:r w:rsidRPr="00416323">
              <w:rPr>
                <w:color w:val="000000"/>
              </w:rPr>
              <w:t>$347,083</w:t>
            </w:r>
          </w:p>
        </w:tc>
      </w:tr>
      <w:tr w:rsidR="00416323" w:rsidRPr="00416323" w14:paraId="2FAB3FB6" w14:textId="77777777" w:rsidTr="002800ED">
        <w:trPr>
          <w:trHeight w:val="315"/>
        </w:trPr>
        <w:tc>
          <w:tcPr>
            <w:tcW w:w="900"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8C3D5F0" w14:textId="77777777" w:rsidR="00416323" w:rsidRPr="00416323" w:rsidRDefault="00416323" w:rsidP="002800ED">
            <w:pPr>
              <w:jc w:val="center"/>
            </w:pPr>
            <w:r w:rsidRPr="00416323">
              <w:rPr>
                <w:color w:val="000000"/>
              </w:rPr>
              <w:t>2011</w:t>
            </w:r>
          </w:p>
        </w:tc>
        <w:tc>
          <w:tcPr>
            <w:tcW w:w="162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BF321D8" w14:textId="77777777" w:rsidR="00416323" w:rsidRPr="00416323" w:rsidRDefault="00416323" w:rsidP="002800ED">
            <w:pPr>
              <w:jc w:val="center"/>
            </w:pPr>
            <w:r w:rsidRPr="00416323">
              <w:rPr>
                <w:color w:val="000000"/>
              </w:rPr>
              <w:t>52</w:t>
            </w:r>
          </w:p>
        </w:tc>
        <w:tc>
          <w:tcPr>
            <w:tcW w:w="171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9662427" w14:textId="77777777" w:rsidR="00416323" w:rsidRPr="00416323" w:rsidRDefault="00416323" w:rsidP="002800ED">
            <w:pPr>
              <w:jc w:val="center"/>
            </w:pPr>
            <w:r w:rsidRPr="00416323">
              <w:rPr>
                <w:color w:val="000000"/>
              </w:rPr>
              <w:t>1,897</w:t>
            </w:r>
          </w:p>
        </w:tc>
        <w:tc>
          <w:tcPr>
            <w:tcW w:w="180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4E85A6FC" w14:textId="77777777" w:rsidR="00416323" w:rsidRPr="00416323" w:rsidRDefault="00416323" w:rsidP="002800ED">
            <w:pPr>
              <w:jc w:val="center"/>
            </w:pPr>
            <w:r w:rsidRPr="00416323">
              <w:rPr>
                <w:color w:val="000000"/>
              </w:rPr>
              <w:t>$10,092,230</w:t>
            </w:r>
          </w:p>
        </w:tc>
        <w:tc>
          <w:tcPr>
            <w:tcW w:w="342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786401F0" w14:textId="77777777" w:rsidR="00416323" w:rsidRPr="00416323" w:rsidRDefault="00416323" w:rsidP="002800ED">
            <w:pPr>
              <w:jc w:val="center"/>
            </w:pPr>
            <w:r w:rsidRPr="00416323">
              <w:rPr>
                <w:color w:val="000000"/>
              </w:rPr>
              <w:t>$253,864</w:t>
            </w:r>
          </w:p>
        </w:tc>
      </w:tr>
      <w:tr w:rsidR="00416323" w:rsidRPr="00416323" w14:paraId="261A9E5D" w14:textId="77777777" w:rsidTr="002800ED">
        <w:trPr>
          <w:trHeight w:val="315"/>
        </w:trPr>
        <w:tc>
          <w:tcPr>
            <w:tcW w:w="900"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57B7F5C5" w14:textId="77777777" w:rsidR="00416323" w:rsidRPr="00416323" w:rsidRDefault="00416323" w:rsidP="002800ED">
            <w:pPr>
              <w:jc w:val="center"/>
            </w:pPr>
            <w:r w:rsidRPr="00416323">
              <w:rPr>
                <w:color w:val="000000"/>
              </w:rPr>
              <w:t>2012</w:t>
            </w:r>
          </w:p>
        </w:tc>
        <w:tc>
          <w:tcPr>
            <w:tcW w:w="16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475C5970" w14:textId="77777777" w:rsidR="00416323" w:rsidRPr="00416323" w:rsidRDefault="00416323" w:rsidP="002800ED">
            <w:pPr>
              <w:jc w:val="center"/>
            </w:pPr>
            <w:r w:rsidRPr="00416323">
              <w:rPr>
                <w:color w:val="000000"/>
              </w:rPr>
              <w:t>24</w:t>
            </w:r>
          </w:p>
        </w:tc>
        <w:tc>
          <w:tcPr>
            <w:tcW w:w="171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3CDFF37B" w14:textId="77777777" w:rsidR="00416323" w:rsidRPr="00416323" w:rsidRDefault="00416323" w:rsidP="002800ED">
            <w:pPr>
              <w:jc w:val="center"/>
            </w:pPr>
            <w:r w:rsidRPr="00416323">
              <w:rPr>
                <w:color w:val="000000"/>
              </w:rPr>
              <w:t>304</w:t>
            </w:r>
          </w:p>
        </w:tc>
        <w:tc>
          <w:tcPr>
            <w:tcW w:w="180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768C8EB2" w14:textId="77777777" w:rsidR="00416323" w:rsidRPr="00416323" w:rsidRDefault="00416323" w:rsidP="002800ED">
            <w:pPr>
              <w:jc w:val="center"/>
            </w:pPr>
            <w:r w:rsidRPr="00416323">
              <w:rPr>
                <w:color w:val="000000"/>
              </w:rPr>
              <w:t>$1,718,513</w:t>
            </w:r>
          </w:p>
        </w:tc>
        <w:tc>
          <w:tcPr>
            <w:tcW w:w="34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094B3AC7" w14:textId="77777777" w:rsidR="00416323" w:rsidRPr="00416323" w:rsidRDefault="00416323" w:rsidP="002800ED">
            <w:pPr>
              <w:jc w:val="center"/>
            </w:pPr>
            <w:r w:rsidRPr="00416323">
              <w:rPr>
                <w:color w:val="000000"/>
              </w:rPr>
              <w:t>$99,710</w:t>
            </w:r>
          </w:p>
        </w:tc>
      </w:tr>
      <w:tr w:rsidR="00416323" w:rsidRPr="00416323" w14:paraId="2436F814" w14:textId="77777777" w:rsidTr="002800ED">
        <w:trPr>
          <w:trHeight w:val="315"/>
        </w:trPr>
        <w:tc>
          <w:tcPr>
            <w:tcW w:w="900"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663A26DB" w14:textId="77777777" w:rsidR="00416323" w:rsidRPr="00416323" w:rsidRDefault="00416323" w:rsidP="002800ED">
            <w:pPr>
              <w:jc w:val="center"/>
            </w:pPr>
            <w:r w:rsidRPr="00416323">
              <w:rPr>
                <w:color w:val="000000"/>
              </w:rPr>
              <w:t>2013</w:t>
            </w:r>
          </w:p>
        </w:tc>
        <w:tc>
          <w:tcPr>
            <w:tcW w:w="16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5FF18DED" w14:textId="77777777" w:rsidR="00416323" w:rsidRPr="00416323" w:rsidRDefault="00416323" w:rsidP="002800ED">
            <w:pPr>
              <w:jc w:val="center"/>
            </w:pPr>
            <w:r w:rsidRPr="00416323">
              <w:rPr>
                <w:color w:val="000000"/>
              </w:rPr>
              <w:t>14</w:t>
            </w:r>
          </w:p>
        </w:tc>
        <w:tc>
          <w:tcPr>
            <w:tcW w:w="171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50DEAC4A" w14:textId="77777777" w:rsidR="00416323" w:rsidRPr="00416323" w:rsidRDefault="00416323" w:rsidP="002800ED">
            <w:pPr>
              <w:jc w:val="center"/>
            </w:pPr>
            <w:r w:rsidRPr="00416323">
              <w:rPr>
                <w:color w:val="000000"/>
              </w:rPr>
              <w:t>542</w:t>
            </w:r>
          </w:p>
        </w:tc>
        <w:tc>
          <w:tcPr>
            <w:tcW w:w="180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09848201" w14:textId="77777777" w:rsidR="00416323" w:rsidRPr="00416323" w:rsidRDefault="00416323" w:rsidP="002800ED">
            <w:pPr>
              <w:jc w:val="center"/>
            </w:pPr>
            <w:r w:rsidRPr="00416323">
              <w:rPr>
                <w:color w:val="000000"/>
              </w:rPr>
              <w:t>$4,303,886</w:t>
            </w:r>
          </w:p>
        </w:tc>
        <w:tc>
          <w:tcPr>
            <w:tcW w:w="34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3B7C2227" w14:textId="77777777" w:rsidR="00416323" w:rsidRPr="00416323" w:rsidRDefault="00416323" w:rsidP="002800ED">
            <w:pPr>
              <w:jc w:val="center"/>
            </w:pPr>
            <w:r w:rsidRPr="00416323">
              <w:rPr>
                <w:color w:val="000000"/>
              </w:rPr>
              <w:t>$140,092</w:t>
            </w:r>
          </w:p>
        </w:tc>
      </w:tr>
      <w:tr w:rsidR="00416323" w:rsidRPr="00416323" w14:paraId="63BB7B8E" w14:textId="77777777" w:rsidTr="002800ED">
        <w:trPr>
          <w:trHeight w:val="315"/>
        </w:trPr>
        <w:tc>
          <w:tcPr>
            <w:tcW w:w="900"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6BD7DCCC" w14:textId="77777777" w:rsidR="00416323" w:rsidRPr="00416323" w:rsidRDefault="00416323" w:rsidP="002800ED">
            <w:pPr>
              <w:jc w:val="center"/>
            </w:pPr>
            <w:r w:rsidRPr="00416323">
              <w:rPr>
                <w:color w:val="000000"/>
              </w:rPr>
              <w:t>2014</w:t>
            </w:r>
          </w:p>
        </w:tc>
        <w:tc>
          <w:tcPr>
            <w:tcW w:w="16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533E6D87" w14:textId="77777777" w:rsidR="00416323" w:rsidRPr="00416323" w:rsidRDefault="00416323" w:rsidP="002800ED">
            <w:pPr>
              <w:jc w:val="center"/>
            </w:pPr>
            <w:r w:rsidRPr="00416323">
              <w:rPr>
                <w:color w:val="000000"/>
              </w:rPr>
              <w:t>65</w:t>
            </w:r>
          </w:p>
        </w:tc>
        <w:tc>
          <w:tcPr>
            <w:tcW w:w="171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CFCB1C8" w14:textId="77777777" w:rsidR="00416323" w:rsidRPr="00416323" w:rsidRDefault="00416323" w:rsidP="002800ED">
            <w:pPr>
              <w:jc w:val="center"/>
            </w:pPr>
            <w:r w:rsidRPr="00416323">
              <w:rPr>
                <w:color w:val="000000"/>
              </w:rPr>
              <w:t>1,547</w:t>
            </w:r>
          </w:p>
        </w:tc>
        <w:tc>
          <w:tcPr>
            <w:tcW w:w="180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53D020D" w14:textId="77777777" w:rsidR="00416323" w:rsidRPr="00416323" w:rsidRDefault="00416323" w:rsidP="002800ED">
            <w:pPr>
              <w:jc w:val="center"/>
            </w:pPr>
            <w:r w:rsidRPr="00416323">
              <w:rPr>
                <w:color w:val="000000"/>
              </w:rPr>
              <w:t>$6,834,763</w:t>
            </w:r>
          </w:p>
        </w:tc>
        <w:tc>
          <w:tcPr>
            <w:tcW w:w="34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30846FA3" w14:textId="77777777" w:rsidR="00416323" w:rsidRPr="00416323" w:rsidRDefault="00416323" w:rsidP="002800ED">
            <w:pPr>
              <w:jc w:val="center"/>
            </w:pPr>
            <w:r w:rsidRPr="00416323">
              <w:rPr>
                <w:color w:val="000000"/>
              </w:rPr>
              <w:t>$283,975</w:t>
            </w:r>
          </w:p>
        </w:tc>
      </w:tr>
      <w:tr w:rsidR="00416323" w:rsidRPr="00416323" w14:paraId="5998F4BF" w14:textId="77777777" w:rsidTr="002800ED">
        <w:trPr>
          <w:trHeight w:val="315"/>
        </w:trPr>
        <w:tc>
          <w:tcPr>
            <w:tcW w:w="900"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A7FF165" w14:textId="77777777" w:rsidR="00416323" w:rsidRPr="00416323" w:rsidRDefault="00416323" w:rsidP="002800ED">
            <w:pPr>
              <w:jc w:val="center"/>
            </w:pPr>
            <w:r w:rsidRPr="00416323">
              <w:rPr>
                <w:color w:val="000000"/>
              </w:rPr>
              <w:t>2015</w:t>
            </w:r>
          </w:p>
        </w:tc>
        <w:tc>
          <w:tcPr>
            <w:tcW w:w="16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095C7E5F" w14:textId="77777777" w:rsidR="00416323" w:rsidRPr="00416323" w:rsidRDefault="00416323" w:rsidP="002800ED">
            <w:pPr>
              <w:jc w:val="center"/>
            </w:pPr>
            <w:r w:rsidRPr="00416323">
              <w:rPr>
                <w:color w:val="000000"/>
              </w:rPr>
              <w:t>81</w:t>
            </w:r>
          </w:p>
        </w:tc>
        <w:tc>
          <w:tcPr>
            <w:tcW w:w="171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3C68AB59" w14:textId="77777777" w:rsidR="00416323" w:rsidRPr="00416323" w:rsidRDefault="00416323" w:rsidP="002800ED">
            <w:pPr>
              <w:jc w:val="center"/>
            </w:pPr>
            <w:r w:rsidRPr="00416323">
              <w:rPr>
                <w:color w:val="000000"/>
              </w:rPr>
              <w:t>1,716</w:t>
            </w:r>
          </w:p>
        </w:tc>
        <w:tc>
          <w:tcPr>
            <w:tcW w:w="180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6824EF3" w14:textId="77777777" w:rsidR="00416323" w:rsidRPr="00416323" w:rsidRDefault="00416323" w:rsidP="002800ED">
            <w:pPr>
              <w:jc w:val="center"/>
            </w:pPr>
            <w:r w:rsidRPr="00416323">
              <w:rPr>
                <w:color w:val="000000"/>
              </w:rPr>
              <w:t>$11,634,998</w:t>
            </w:r>
          </w:p>
        </w:tc>
        <w:tc>
          <w:tcPr>
            <w:tcW w:w="34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01B7D0C" w14:textId="77777777" w:rsidR="00416323" w:rsidRPr="00416323" w:rsidRDefault="00416323" w:rsidP="002800ED">
            <w:pPr>
              <w:jc w:val="center"/>
            </w:pPr>
            <w:r w:rsidRPr="00416323">
              <w:rPr>
                <w:color w:val="000000"/>
              </w:rPr>
              <w:t>$292,740</w:t>
            </w:r>
          </w:p>
        </w:tc>
      </w:tr>
      <w:tr w:rsidR="00416323" w:rsidRPr="00416323" w14:paraId="084767BF" w14:textId="77777777" w:rsidTr="002800ED">
        <w:trPr>
          <w:trHeight w:val="315"/>
        </w:trPr>
        <w:tc>
          <w:tcPr>
            <w:tcW w:w="900"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5BF236DA" w14:textId="77777777" w:rsidR="00416323" w:rsidRPr="00416323" w:rsidRDefault="00416323" w:rsidP="002800ED">
            <w:pPr>
              <w:jc w:val="center"/>
            </w:pPr>
            <w:r w:rsidRPr="00416323">
              <w:rPr>
                <w:color w:val="000000"/>
              </w:rPr>
              <w:t>2016</w:t>
            </w:r>
          </w:p>
        </w:tc>
        <w:tc>
          <w:tcPr>
            <w:tcW w:w="16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762F1F82" w14:textId="77777777" w:rsidR="00416323" w:rsidRPr="00416323" w:rsidRDefault="00416323" w:rsidP="002800ED">
            <w:pPr>
              <w:jc w:val="center"/>
            </w:pPr>
            <w:r w:rsidRPr="00416323">
              <w:rPr>
                <w:color w:val="000000"/>
              </w:rPr>
              <w:t>47</w:t>
            </w:r>
          </w:p>
        </w:tc>
        <w:tc>
          <w:tcPr>
            <w:tcW w:w="171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08D8C806" w14:textId="77777777" w:rsidR="00416323" w:rsidRPr="00416323" w:rsidRDefault="00416323" w:rsidP="002800ED">
            <w:pPr>
              <w:jc w:val="center"/>
            </w:pPr>
            <w:r w:rsidRPr="00416323">
              <w:rPr>
                <w:color w:val="000000"/>
              </w:rPr>
              <w:t>1,718</w:t>
            </w:r>
          </w:p>
        </w:tc>
        <w:tc>
          <w:tcPr>
            <w:tcW w:w="180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7F7E4327" w14:textId="77777777" w:rsidR="00416323" w:rsidRPr="00416323" w:rsidRDefault="00416323" w:rsidP="002800ED">
            <w:pPr>
              <w:jc w:val="center"/>
            </w:pPr>
            <w:r w:rsidRPr="00416323">
              <w:rPr>
                <w:color w:val="000000"/>
              </w:rPr>
              <w:t>$8,381,760</w:t>
            </w:r>
          </w:p>
        </w:tc>
        <w:tc>
          <w:tcPr>
            <w:tcW w:w="34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9E3191E" w14:textId="77777777" w:rsidR="00416323" w:rsidRPr="00416323" w:rsidRDefault="00416323" w:rsidP="002800ED">
            <w:pPr>
              <w:jc w:val="center"/>
            </w:pPr>
            <w:r w:rsidRPr="00416323">
              <w:rPr>
                <w:color w:val="000000"/>
              </w:rPr>
              <w:t>$353,774</w:t>
            </w:r>
          </w:p>
        </w:tc>
      </w:tr>
      <w:tr w:rsidR="00416323" w:rsidRPr="00416323" w14:paraId="2CAB4359" w14:textId="77777777" w:rsidTr="002800ED">
        <w:trPr>
          <w:trHeight w:val="315"/>
        </w:trPr>
        <w:tc>
          <w:tcPr>
            <w:tcW w:w="900"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3663C7AE" w14:textId="77777777" w:rsidR="00416323" w:rsidRPr="00416323" w:rsidRDefault="00416323" w:rsidP="002800ED">
            <w:pPr>
              <w:jc w:val="center"/>
            </w:pPr>
            <w:r w:rsidRPr="00416323">
              <w:rPr>
                <w:color w:val="000000"/>
              </w:rPr>
              <w:t>2017</w:t>
            </w:r>
          </w:p>
        </w:tc>
        <w:tc>
          <w:tcPr>
            <w:tcW w:w="16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CF02804" w14:textId="77777777" w:rsidR="00416323" w:rsidRPr="00416323" w:rsidRDefault="00416323" w:rsidP="002800ED">
            <w:pPr>
              <w:jc w:val="center"/>
            </w:pPr>
            <w:r w:rsidRPr="00416323">
              <w:rPr>
                <w:color w:val="000000"/>
              </w:rPr>
              <w:t>45</w:t>
            </w:r>
          </w:p>
        </w:tc>
        <w:tc>
          <w:tcPr>
            <w:tcW w:w="171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43BF813" w14:textId="77777777" w:rsidR="00416323" w:rsidRPr="00416323" w:rsidRDefault="00416323" w:rsidP="002800ED">
            <w:pPr>
              <w:jc w:val="center"/>
            </w:pPr>
            <w:r w:rsidRPr="00416323">
              <w:rPr>
                <w:color w:val="000000"/>
              </w:rPr>
              <w:t>631</w:t>
            </w:r>
          </w:p>
        </w:tc>
        <w:tc>
          <w:tcPr>
            <w:tcW w:w="180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5BA8A37A" w14:textId="77777777" w:rsidR="00416323" w:rsidRPr="00416323" w:rsidRDefault="00416323" w:rsidP="002800ED">
            <w:pPr>
              <w:jc w:val="center"/>
            </w:pPr>
            <w:r w:rsidRPr="00416323">
              <w:rPr>
                <w:color w:val="000000"/>
              </w:rPr>
              <w:t>$3,581,080</w:t>
            </w:r>
          </w:p>
        </w:tc>
        <w:tc>
          <w:tcPr>
            <w:tcW w:w="34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6F947076" w14:textId="77777777" w:rsidR="00416323" w:rsidRPr="00416323" w:rsidRDefault="00416323" w:rsidP="002800ED">
            <w:pPr>
              <w:jc w:val="center"/>
            </w:pPr>
            <w:r w:rsidRPr="00416323">
              <w:rPr>
                <w:color w:val="000000"/>
              </w:rPr>
              <w:t>$119,897</w:t>
            </w:r>
          </w:p>
        </w:tc>
      </w:tr>
      <w:tr w:rsidR="00416323" w:rsidRPr="00416323" w14:paraId="66963A80" w14:textId="77777777" w:rsidTr="002800ED">
        <w:trPr>
          <w:trHeight w:val="315"/>
        </w:trPr>
        <w:tc>
          <w:tcPr>
            <w:tcW w:w="900"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41437723" w14:textId="77777777" w:rsidR="00416323" w:rsidRPr="00416323" w:rsidRDefault="00416323" w:rsidP="002800ED">
            <w:pPr>
              <w:jc w:val="center"/>
            </w:pPr>
            <w:r w:rsidRPr="00416323">
              <w:rPr>
                <w:color w:val="000000"/>
              </w:rPr>
              <w:t>2018</w:t>
            </w:r>
          </w:p>
        </w:tc>
        <w:tc>
          <w:tcPr>
            <w:tcW w:w="16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543E5055" w14:textId="77777777" w:rsidR="00416323" w:rsidRPr="00416323" w:rsidRDefault="00416323" w:rsidP="002800ED">
            <w:pPr>
              <w:jc w:val="center"/>
            </w:pPr>
            <w:r w:rsidRPr="00416323">
              <w:t>51</w:t>
            </w:r>
          </w:p>
        </w:tc>
        <w:tc>
          <w:tcPr>
            <w:tcW w:w="171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759CA5D1" w14:textId="77777777" w:rsidR="00416323" w:rsidRPr="00416323" w:rsidRDefault="00416323" w:rsidP="002800ED">
            <w:pPr>
              <w:jc w:val="center"/>
            </w:pPr>
            <w:r w:rsidRPr="00416323">
              <w:t>1,197</w:t>
            </w:r>
          </w:p>
        </w:tc>
        <w:tc>
          <w:tcPr>
            <w:tcW w:w="180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5923412" w14:textId="77777777" w:rsidR="00416323" w:rsidRPr="00416323" w:rsidRDefault="00416323" w:rsidP="002800ED">
            <w:pPr>
              <w:jc w:val="center"/>
            </w:pPr>
            <w:r w:rsidRPr="00416323">
              <w:rPr>
                <w:color w:val="000000"/>
              </w:rPr>
              <w:t>$8,230,192</w:t>
            </w:r>
          </w:p>
        </w:tc>
        <w:tc>
          <w:tcPr>
            <w:tcW w:w="34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4E454CE" w14:textId="77777777" w:rsidR="00416323" w:rsidRPr="00416323" w:rsidRDefault="00416323" w:rsidP="002800ED">
            <w:pPr>
              <w:jc w:val="center"/>
            </w:pPr>
            <w:r w:rsidRPr="00416323">
              <w:rPr>
                <w:color w:val="000000"/>
              </w:rPr>
              <w:t>$149,668</w:t>
            </w:r>
          </w:p>
        </w:tc>
      </w:tr>
      <w:tr w:rsidR="00416323" w:rsidRPr="00416323" w14:paraId="209C0A6D" w14:textId="77777777" w:rsidTr="002800ED">
        <w:trPr>
          <w:trHeight w:val="315"/>
        </w:trPr>
        <w:tc>
          <w:tcPr>
            <w:tcW w:w="900"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C4F2E45" w14:textId="77777777" w:rsidR="00416323" w:rsidRPr="00416323" w:rsidRDefault="00416323" w:rsidP="002800ED">
            <w:pPr>
              <w:jc w:val="center"/>
            </w:pPr>
            <w:r w:rsidRPr="00416323">
              <w:rPr>
                <w:color w:val="000000"/>
              </w:rPr>
              <w:t>2019</w:t>
            </w:r>
          </w:p>
        </w:tc>
        <w:tc>
          <w:tcPr>
            <w:tcW w:w="16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74AEEAE0" w14:textId="77777777" w:rsidR="00416323" w:rsidRPr="00416323" w:rsidRDefault="00416323" w:rsidP="002800ED">
            <w:pPr>
              <w:jc w:val="center"/>
            </w:pPr>
            <w:r w:rsidRPr="00416323">
              <w:t>35</w:t>
            </w:r>
          </w:p>
        </w:tc>
        <w:tc>
          <w:tcPr>
            <w:tcW w:w="171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75757D19" w14:textId="77777777" w:rsidR="00416323" w:rsidRPr="00416323" w:rsidRDefault="00416323" w:rsidP="002800ED">
            <w:pPr>
              <w:jc w:val="center"/>
            </w:pPr>
            <w:r w:rsidRPr="00416323">
              <w:t>1,579</w:t>
            </w:r>
          </w:p>
        </w:tc>
        <w:tc>
          <w:tcPr>
            <w:tcW w:w="180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374D0D50" w14:textId="77777777" w:rsidR="00416323" w:rsidRPr="00416323" w:rsidRDefault="00416323" w:rsidP="002800ED">
            <w:pPr>
              <w:jc w:val="center"/>
            </w:pPr>
            <w:r w:rsidRPr="00416323">
              <w:rPr>
                <w:color w:val="000000"/>
              </w:rPr>
              <w:t>$11,925,621</w:t>
            </w:r>
          </w:p>
        </w:tc>
        <w:tc>
          <w:tcPr>
            <w:tcW w:w="34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220478D3" w14:textId="77777777" w:rsidR="00416323" w:rsidRPr="00416323" w:rsidRDefault="00416323" w:rsidP="002800ED">
            <w:pPr>
              <w:jc w:val="center"/>
            </w:pPr>
            <w:r w:rsidRPr="00416323">
              <w:rPr>
                <w:color w:val="000000"/>
              </w:rPr>
              <w:t>$336,402</w:t>
            </w:r>
          </w:p>
        </w:tc>
      </w:tr>
      <w:tr w:rsidR="00416323" w:rsidRPr="00416323" w14:paraId="305C380A" w14:textId="77777777" w:rsidTr="002800ED">
        <w:trPr>
          <w:trHeight w:val="315"/>
        </w:trPr>
        <w:tc>
          <w:tcPr>
            <w:tcW w:w="900"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D48ADEC" w14:textId="77777777" w:rsidR="00416323" w:rsidRPr="00416323" w:rsidRDefault="00416323" w:rsidP="002800ED">
            <w:pPr>
              <w:jc w:val="center"/>
            </w:pPr>
            <w:r w:rsidRPr="00416323">
              <w:rPr>
                <w:color w:val="000000"/>
              </w:rPr>
              <w:t>2020*</w:t>
            </w:r>
          </w:p>
        </w:tc>
        <w:tc>
          <w:tcPr>
            <w:tcW w:w="16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084504AA" w14:textId="77777777" w:rsidR="00416323" w:rsidRPr="00416323" w:rsidRDefault="00416323" w:rsidP="002800ED">
            <w:pPr>
              <w:jc w:val="center"/>
            </w:pPr>
            <w:r w:rsidRPr="00416323">
              <w:t>6</w:t>
            </w:r>
          </w:p>
        </w:tc>
        <w:tc>
          <w:tcPr>
            <w:tcW w:w="171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5AD09DA3" w14:textId="77777777" w:rsidR="00416323" w:rsidRPr="00416323" w:rsidRDefault="00416323" w:rsidP="002800ED">
            <w:pPr>
              <w:jc w:val="center"/>
            </w:pPr>
            <w:r w:rsidRPr="00416323">
              <w:t>18</w:t>
            </w:r>
          </w:p>
        </w:tc>
        <w:tc>
          <w:tcPr>
            <w:tcW w:w="180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103C52AE" w14:textId="77777777" w:rsidR="00416323" w:rsidRPr="00416323" w:rsidRDefault="00416323" w:rsidP="002800ED">
            <w:pPr>
              <w:jc w:val="center"/>
            </w:pPr>
            <w:r w:rsidRPr="00416323">
              <w:rPr>
                <w:color w:val="000000"/>
              </w:rPr>
              <w:t>$98,800</w:t>
            </w:r>
          </w:p>
        </w:tc>
        <w:tc>
          <w:tcPr>
            <w:tcW w:w="34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14:paraId="753C963A" w14:textId="77777777" w:rsidR="00416323" w:rsidRPr="00416323" w:rsidRDefault="00416323" w:rsidP="002800ED">
            <w:pPr>
              <w:jc w:val="center"/>
            </w:pPr>
            <w:r w:rsidRPr="00416323">
              <w:rPr>
                <w:color w:val="000000"/>
              </w:rPr>
              <w:t>$4,986</w:t>
            </w:r>
          </w:p>
        </w:tc>
      </w:tr>
    </w:tbl>
    <w:p w14:paraId="5CDEB2F8" w14:textId="77777777" w:rsidR="00416323" w:rsidRPr="00416323" w:rsidRDefault="00416323" w:rsidP="00416323">
      <w:pPr>
        <w:shd w:val="clear" w:color="auto" w:fill="FFFFFF"/>
        <w:spacing w:line="288" w:lineRule="atLeast"/>
        <w:rPr>
          <w:color w:val="222222"/>
        </w:rPr>
      </w:pPr>
    </w:p>
    <w:p w14:paraId="6684BE0A" w14:textId="77777777" w:rsidR="00416323" w:rsidRPr="00416323" w:rsidRDefault="00416323" w:rsidP="00416323">
      <w:pPr>
        <w:shd w:val="clear" w:color="auto" w:fill="FFFFFF"/>
        <w:spacing w:line="288" w:lineRule="atLeast"/>
        <w:rPr>
          <w:color w:val="222222"/>
        </w:rPr>
      </w:pPr>
      <w:r w:rsidRPr="00416323">
        <w:rPr>
          <w:color w:val="222222"/>
        </w:rPr>
        <w:lastRenderedPageBreak/>
        <w:t xml:space="preserve">* For 2020, the Workplace Fraud Audits and Joint Audits results were generally from January 1 to March 15 before COVID-19 outbreak and the Governor’s Executive Order for State of Emergency.  </w:t>
      </w:r>
    </w:p>
    <w:p w14:paraId="0D7B7FB2" w14:textId="77777777" w:rsidR="00416323" w:rsidRPr="00416323" w:rsidRDefault="00416323" w:rsidP="00416323">
      <w:pPr>
        <w:shd w:val="clear" w:color="auto" w:fill="FFFFFF"/>
        <w:spacing w:line="288" w:lineRule="atLeast"/>
        <w:rPr>
          <w:color w:val="222222"/>
        </w:rPr>
      </w:pPr>
    </w:p>
    <w:p w14:paraId="55DE7F05" w14:textId="77777777" w:rsidR="00416323" w:rsidRPr="00416323" w:rsidRDefault="00416323" w:rsidP="00416323">
      <w:pPr>
        <w:shd w:val="clear" w:color="auto" w:fill="FFFFFF"/>
        <w:spacing w:line="288" w:lineRule="atLeast"/>
        <w:ind w:left="1080"/>
        <w:rPr>
          <w:color w:val="222222"/>
        </w:rPr>
      </w:pPr>
      <w:r w:rsidRPr="00416323">
        <w:rPr>
          <w:b/>
          <w:bCs/>
          <w:color w:val="222222"/>
        </w:rPr>
        <w:t>A.</w:t>
      </w:r>
      <w:r w:rsidRPr="00416323">
        <w:rPr>
          <w:color w:val="222222"/>
        </w:rPr>
        <w:t>    </w:t>
      </w:r>
      <w:r w:rsidRPr="00416323">
        <w:rPr>
          <w:b/>
          <w:bCs/>
          <w:color w:val="222222"/>
        </w:rPr>
        <w:t>Penalties</w:t>
      </w:r>
    </w:p>
    <w:p w14:paraId="53BBB4DD" w14:textId="77777777" w:rsidR="00416323" w:rsidRPr="00416323" w:rsidRDefault="00416323" w:rsidP="00416323">
      <w:pPr>
        <w:shd w:val="clear" w:color="auto" w:fill="FFFFFF"/>
        <w:spacing w:line="288" w:lineRule="atLeast"/>
        <w:rPr>
          <w:color w:val="222222"/>
        </w:rPr>
      </w:pPr>
      <w:r w:rsidRPr="00416323">
        <w:rPr>
          <w:color w:val="222222"/>
        </w:rPr>
        <w:t> </w:t>
      </w:r>
    </w:p>
    <w:p w14:paraId="63165827" w14:textId="77777777" w:rsidR="00416323" w:rsidRPr="00416323" w:rsidRDefault="00416323" w:rsidP="00416323">
      <w:pPr>
        <w:shd w:val="clear" w:color="auto" w:fill="FFFFFF"/>
        <w:spacing w:line="288" w:lineRule="atLeast"/>
        <w:rPr>
          <w:color w:val="222222"/>
        </w:rPr>
      </w:pPr>
      <w:r w:rsidRPr="00416323">
        <w:rPr>
          <w:color w:val="222222"/>
        </w:rPr>
        <w:t>The Workplace Fraud Act provides penalties for knowingly violating the law. However, no employer in Maryland has been charged with penalties under the UI audit program.</w:t>
      </w:r>
    </w:p>
    <w:p w14:paraId="6B40B026" w14:textId="77777777" w:rsidR="00416323" w:rsidRPr="00416323" w:rsidRDefault="00416323" w:rsidP="00416323">
      <w:pPr>
        <w:shd w:val="clear" w:color="auto" w:fill="FFFFFF"/>
        <w:spacing w:line="288" w:lineRule="atLeast"/>
        <w:ind w:left="360"/>
        <w:rPr>
          <w:color w:val="222222"/>
        </w:rPr>
      </w:pPr>
      <w:r w:rsidRPr="00416323">
        <w:rPr>
          <w:b/>
          <w:bCs/>
          <w:color w:val="222222"/>
        </w:rPr>
        <w:t> </w:t>
      </w:r>
    </w:p>
    <w:p w14:paraId="2BB295CC" w14:textId="77777777" w:rsidR="00416323" w:rsidRPr="00416323" w:rsidRDefault="00416323" w:rsidP="00416323"/>
    <w:p w14:paraId="7D296D7A" w14:textId="77777777" w:rsidR="00416323" w:rsidRPr="00416323" w:rsidRDefault="00416323" w:rsidP="00416323">
      <w:pPr>
        <w:rPr>
          <w:b/>
        </w:rPr>
      </w:pPr>
      <w:r w:rsidRPr="00416323">
        <w:rPr>
          <w:b/>
        </w:rPr>
        <w:t>II.</w:t>
      </w:r>
      <w:r w:rsidRPr="00416323">
        <w:rPr>
          <w:b/>
        </w:rPr>
        <w:tab/>
        <w:t>Attorney General</w:t>
      </w:r>
    </w:p>
    <w:p w14:paraId="3959CE44" w14:textId="77777777" w:rsidR="00416323" w:rsidRPr="00416323" w:rsidRDefault="00416323" w:rsidP="00416323"/>
    <w:p w14:paraId="454AE4BD" w14:textId="5A085745" w:rsidR="00416323" w:rsidRPr="00416323" w:rsidRDefault="00416323" w:rsidP="00416323">
      <w:r w:rsidRPr="00416323">
        <w:t>As Maryland’s chief legal officer, the Attorney General has general charge, direction, and supervision of the legal business of the State, focusing primarily on the representation of state agencies.  As such, the Office of the Attorney General has provided legal guidance on all aspects of Maryland’s efforts to combat misclassification of employees, including assisting in the drafting of the statute itself, amendments; drafting regulations to implement the Workplace Fraud Act; and providing guidance as to the legality of inter-agency data and information sharing.  Assistant Attorneys General who represent MDLabor also attend various meetings and provide advice to the Task Force member agencies.  The Office of the Attorney General also represents the State in all litigation related to the enforcement of the Workplace Fraud Act.</w:t>
      </w:r>
    </w:p>
    <w:p w14:paraId="6535FEEC" w14:textId="77777777" w:rsidR="00416323" w:rsidRPr="00416323" w:rsidRDefault="00416323" w:rsidP="00416323"/>
    <w:p w14:paraId="6381A2E3" w14:textId="77777777" w:rsidR="00416323" w:rsidRPr="00416323" w:rsidRDefault="00416323" w:rsidP="00416323">
      <w:pPr>
        <w:rPr>
          <w:b/>
        </w:rPr>
      </w:pPr>
      <w:r w:rsidRPr="00416323">
        <w:rPr>
          <w:b/>
        </w:rPr>
        <w:t>III.</w:t>
      </w:r>
      <w:r w:rsidRPr="00416323">
        <w:rPr>
          <w:b/>
        </w:rPr>
        <w:tab/>
        <w:t>Comptroller</w:t>
      </w:r>
    </w:p>
    <w:p w14:paraId="7F52C1AB" w14:textId="77777777" w:rsidR="00416323" w:rsidRPr="00416323" w:rsidRDefault="00416323" w:rsidP="00416323"/>
    <w:p w14:paraId="24DCA9D8" w14:textId="77777777" w:rsidR="00416323" w:rsidRPr="00416323" w:rsidRDefault="00416323" w:rsidP="00416323">
      <w:r w:rsidRPr="00416323">
        <w:t>During the 2020 calendar year, the Comptroller’s Audit staff did not completed any joint audits as part of the Workplace Fraud Task Force due to the Covid-19 Pandemic and resulting State of Emergency issued by Governor Hogan. The Comptroller continues to use the joint program to discover new revenues for Withholding Taxes and widen the scope of investigating workplace fraud.</w:t>
      </w:r>
    </w:p>
    <w:p w14:paraId="406C8C86" w14:textId="7CB55A58" w:rsidR="00416323" w:rsidRPr="00416323" w:rsidRDefault="00416323" w:rsidP="00416323">
      <w:pPr>
        <w:rPr>
          <w:color w:val="000000"/>
        </w:rPr>
      </w:pPr>
      <w:r w:rsidRPr="00416323">
        <w:t xml:space="preserve">There was one audit completed in 2020 from a referral from the </w:t>
      </w:r>
      <w:r w:rsidR="00806181">
        <w:t>MDOL</w:t>
      </w:r>
      <w:r w:rsidRPr="00416323">
        <w:t xml:space="preserve">. This audit resulted in a Withholding Tax Assessment in the amount of $41,160. Currently, there are two Withholding Tax Audits in progress resulting from referrals from the </w:t>
      </w:r>
      <w:r w:rsidR="00806181">
        <w:t>MDOL</w:t>
      </w:r>
      <w:r w:rsidRPr="00416323">
        <w:t xml:space="preserve"> for possible misclassification of workers. In the abbreviated 2020 audit schedule, the Comptroller’s office conducted seven (7) Withholding Tax audits and issued assessments in the amount of $</w:t>
      </w:r>
      <w:r w:rsidRPr="00416323">
        <w:rPr>
          <w:color w:val="000000"/>
        </w:rPr>
        <w:t xml:space="preserve"> 87,361.84.</w:t>
      </w:r>
    </w:p>
    <w:p w14:paraId="1F57CE58" w14:textId="5457ECF6" w:rsidR="00416323" w:rsidRPr="00416323" w:rsidRDefault="00416323" w:rsidP="00416323">
      <w:pPr>
        <w:rPr>
          <w:color w:val="000000"/>
        </w:rPr>
      </w:pPr>
      <w:r w:rsidRPr="00416323">
        <w:rPr>
          <w:color w:val="000000"/>
        </w:rPr>
        <w:t xml:space="preserve">The Comptroller’s Office also indirectly derives a benefit from the complaints and referrals that are shared among agencies via the Workplace Fraud Share Point Web Application. Many of these complaints and referrals lead to additional revenue generated across other tax types that the Comptroller administers. </w:t>
      </w:r>
    </w:p>
    <w:p w14:paraId="0693BB65" w14:textId="77777777" w:rsidR="00416323" w:rsidRPr="00416323" w:rsidRDefault="00416323" w:rsidP="00416323"/>
    <w:p w14:paraId="6C88D8B9" w14:textId="77777777" w:rsidR="00416323" w:rsidRPr="00416323" w:rsidRDefault="00416323" w:rsidP="00416323">
      <w:pPr>
        <w:keepNext/>
        <w:keepLines/>
        <w:rPr>
          <w:b/>
        </w:rPr>
      </w:pPr>
      <w:r w:rsidRPr="00416323">
        <w:rPr>
          <w:b/>
        </w:rPr>
        <w:t>IV.</w:t>
      </w:r>
      <w:r w:rsidRPr="00416323">
        <w:rPr>
          <w:b/>
        </w:rPr>
        <w:tab/>
        <w:t>Workers’ Compensation Commission</w:t>
      </w:r>
    </w:p>
    <w:p w14:paraId="58EF128A" w14:textId="77777777" w:rsidR="00416323" w:rsidRPr="00416323" w:rsidRDefault="00416323" w:rsidP="00416323">
      <w:pPr>
        <w:keepNext/>
        <w:keepLines/>
      </w:pPr>
    </w:p>
    <w:p w14:paraId="66A7102C" w14:textId="77777777" w:rsidR="00416323" w:rsidRPr="00416323" w:rsidRDefault="00416323" w:rsidP="00416323">
      <w:pPr>
        <w:rPr>
          <w:color w:val="000000"/>
          <w:shd w:val="clear" w:color="auto" w:fill="FFFFFF"/>
        </w:rPr>
      </w:pPr>
      <w:r w:rsidRPr="00416323">
        <w:rPr>
          <w:color w:val="000000"/>
          <w:shd w:val="clear" w:color="auto" w:fill="FFFFFF"/>
        </w:rPr>
        <w:t>The goal of the Maryland Workers’ Compensation Commission (the “Commission”) Employer Compliance Program is to </w:t>
      </w:r>
      <w:r w:rsidRPr="00416323">
        <w:rPr>
          <w:rStyle w:val="il"/>
          <w:color w:val="000000"/>
          <w:shd w:val="clear" w:color="auto" w:fill="FFFFFF"/>
        </w:rPr>
        <w:t>enforce</w:t>
      </w:r>
      <w:r w:rsidRPr="00416323">
        <w:rPr>
          <w:color w:val="000000"/>
          <w:shd w:val="clear" w:color="auto" w:fill="FFFFFF"/>
        </w:rPr>
        <w:t xml:space="preserve"> compliance with the requirement that employers secure compensation for covered employees, thereby protecting Maryland workers and reducing the cost associated with workers’ compensation for all stakeholders. In 2020, the Commission continued to work with those employers whose workers’ compensation insurance policies had </w:t>
      </w:r>
      <w:r w:rsidRPr="00416323">
        <w:rPr>
          <w:color w:val="000000"/>
          <w:shd w:val="clear" w:color="auto" w:fill="FFFFFF"/>
        </w:rPr>
        <w:lastRenderedPageBreak/>
        <w:t>lapsed and/or cancelled without corresponding new coverage and held hearings to determine if additional action was required. The Commission continues its work to </w:t>
      </w:r>
      <w:r w:rsidRPr="00416323">
        <w:rPr>
          <w:rStyle w:val="il"/>
          <w:color w:val="000000"/>
          <w:shd w:val="clear" w:color="auto" w:fill="FFFFFF"/>
        </w:rPr>
        <w:t>enforce</w:t>
      </w:r>
      <w:r w:rsidRPr="00416323">
        <w:rPr>
          <w:color w:val="000000"/>
          <w:shd w:val="clear" w:color="auto" w:fill="FFFFFF"/>
        </w:rPr>
        <w:t> the workers’ compensation law of Maryland.</w:t>
      </w:r>
    </w:p>
    <w:p w14:paraId="3224523C" w14:textId="77777777" w:rsidR="00416323" w:rsidRPr="00416323" w:rsidRDefault="00416323" w:rsidP="00416323"/>
    <w:p w14:paraId="36739101" w14:textId="77777777" w:rsidR="00416323" w:rsidRPr="00416323" w:rsidRDefault="00416323" w:rsidP="00416323">
      <w:pPr>
        <w:rPr>
          <w:b/>
        </w:rPr>
      </w:pPr>
      <w:r w:rsidRPr="00416323">
        <w:rPr>
          <w:b/>
        </w:rPr>
        <w:t>V.</w:t>
      </w:r>
      <w:r w:rsidRPr="00416323">
        <w:rPr>
          <w:b/>
        </w:rPr>
        <w:tab/>
        <w:t>Insurance Administration</w:t>
      </w:r>
    </w:p>
    <w:p w14:paraId="0A8E989A" w14:textId="77777777" w:rsidR="00416323" w:rsidRPr="00416323" w:rsidRDefault="00416323" w:rsidP="00416323"/>
    <w:p w14:paraId="1B80F921" w14:textId="77777777" w:rsidR="00416323" w:rsidRPr="00416323" w:rsidRDefault="00416323" w:rsidP="00416323">
      <w:r w:rsidRPr="00416323">
        <w:t>The Maryland Insurance Administration (MIA) regulates licensed insurance carriers in Maryland, including workers’ compensation carriers.  The MIA does not regulate employers.  Accordingly, the MIA has no statutory authority to enforce violations of workers’ compensation insurance laws under the Workplace Fraud Act by employers who misclassify employees as independent contractors.  Pursuant to the Task Force’s Memorandum of Understanding, MIA may share information on companies not properly classifying their workers with the Workers’ Compensation Commission, the Division of Unemployment Insurance, and the Comptroller.</w:t>
      </w:r>
    </w:p>
    <w:p w14:paraId="3DE22EC5" w14:textId="77777777" w:rsidR="00416323" w:rsidRPr="00416323" w:rsidRDefault="00416323" w:rsidP="00416323"/>
    <w:p w14:paraId="292915DB" w14:textId="77777777" w:rsidR="00416323" w:rsidRPr="00416323" w:rsidRDefault="00416323" w:rsidP="00416323">
      <w:r w:rsidRPr="00416323">
        <w:t xml:space="preserve">Under the Maryland Code, MIA may investigate and prosecute fraudulent insurance acts, including the making of false or fraudulent statements or representations in or with reference to an application for insurance, including the misclassification of employees or under-reporting of payroll (premium avoidance fraud).  </w:t>
      </w:r>
      <w:r w:rsidRPr="00416323">
        <w:rPr>
          <w:i/>
        </w:rPr>
        <w:t>See</w:t>
      </w:r>
      <w:r w:rsidRPr="00416323">
        <w:t xml:space="preserve"> Md. Code Ann., Insurance, § 27-406 and § 27-803.</w:t>
      </w:r>
    </w:p>
    <w:p w14:paraId="283847AE" w14:textId="77777777" w:rsidR="00416323" w:rsidRPr="00416323" w:rsidRDefault="00416323" w:rsidP="00416323"/>
    <w:p w14:paraId="12229EE1" w14:textId="77777777" w:rsidR="00416323" w:rsidRPr="00416323" w:rsidRDefault="00416323" w:rsidP="00416323">
      <w:pPr>
        <w:rPr>
          <w:b/>
          <w:caps/>
        </w:rPr>
      </w:pPr>
      <w:r w:rsidRPr="00416323">
        <w:rPr>
          <w:b/>
          <w:caps/>
        </w:rPr>
        <w:t>Administrative and Legal Barriers</w:t>
      </w:r>
    </w:p>
    <w:p w14:paraId="5535C7D9" w14:textId="77777777" w:rsidR="00416323" w:rsidRPr="00416323" w:rsidRDefault="00416323" w:rsidP="00416323"/>
    <w:p w14:paraId="0B40ACD2" w14:textId="77777777" w:rsidR="00416323" w:rsidRPr="00416323" w:rsidRDefault="00416323" w:rsidP="00416323">
      <w:pPr>
        <w:rPr>
          <w:b/>
        </w:rPr>
      </w:pPr>
      <w:r w:rsidRPr="00416323">
        <w:rPr>
          <w:b/>
        </w:rPr>
        <w:t>I.</w:t>
      </w:r>
      <w:r w:rsidRPr="00416323">
        <w:rPr>
          <w:b/>
        </w:rPr>
        <w:tab/>
        <w:t>Data Sharing Restrictions</w:t>
      </w:r>
    </w:p>
    <w:p w14:paraId="4B32B7B9" w14:textId="77777777" w:rsidR="00416323" w:rsidRPr="00416323" w:rsidRDefault="00416323" w:rsidP="00416323"/>
    <w:p w14:paraId="73BF2053" w14:textId="77777777" w:rsidR="00416323" w:rsidRPr="00416323" w:rsidRDefault="00416323" w:rsidP="00416323">
      <w:r w:rsidRPr="00416323">
        <w:t>Although Task Force member agencies are permitted to share data among themselves, and do, in fact, maintain open communications among the members, the degree to which members can share data is restricted by both state and federal privacy and confidentiality laws and regulations.  All Task Force member agencies are committed to protecting the privacy and confidentiality of business and individual tax and other records.</w:t>
      </w:r>
    </w:p>
    <w:p w14:paraId="0648147B" w14:textId="77777777" w:rsidR="00416323" w:rsidRPr="00416323" w:rsidRDefault="00416323" w:rsidP="00416323"/>
    <w:p w14:paraId="16465DC5" w14:textId="77777777" w:rsidR="00416323" w:rsidRPr="00416323" w:rsidRDefault="00416323" w:rsidP="00416323"/>
    <w:p w14:paraId="2488130E" w14:textId="77777777" w:rsidR="00416323" w:rsidRPr="00416323" w:rsidRDefault="00416323" w:rsidP="00416323">
      <w:pPr>
        <w:rPr>
          <w:b/>
        </w:rPr>
      </w:pPr>
      <w:r w:rsidRPr="00416323">
        <w:rPr>
          <w:b/>
        </w:rPr>
        <w:t>II.</w:t>
      </w:r>
      <w:r w:rsidRPr="00416323">
        <w:rPr>
          <w:b/>
        </w:rPr>
        <w:tab/>
        <w:t>Different Legal Tests for Different Purposes</w:t>
      </w:r>
    </w:p>
    <w:p w14:paraId="134FB450" w14:textId="77777777" w:rsidR="00416323" w:rsidRPr="00416323" w:rsidRDefault="00416323" w:rsidP="00416323"/>
    <w:p w14:paraId="73C52BB0" w14:textId="77777777" w:rsidR="00416323" w:rsidRPr="00416323" w:rsidRDefault="00416323" w:rsidP="00416323">
      <w:r w:rsidRPr="00416323">
        <w:t>For purposes of the Workplace Fraud Act as well as Maryland’s Unemployment Insurance laws, the Division of Labor and Industry’s Worker Classification Protection Unit and the Division of Unemployment Insurance apply what is referred to as the “A</w:t>
      </w:r>
      <w:r w:rsidRPr="00416323">
        <w:noBreakHyphen/>
        <w:t>B</w:t>
      </w:r>
      <w:r w:rsidRPr="00416323">
        <w:noBreakHyphen/>
        <w:t>C Test” to determine whether an individual is an employee or an independent contractor.  For purposes of Maryland’s wage and hour laws the Division of Labor and Industry’s Employment Standards Service unit applies what is known as the “Economic Realities Test.”  This is the same test utilized by the U.S. Department of Labor for purposes of the federal Fair Labor Standards Act.  For purposes of Maryland’s income tax withholding and Workers’ Compensation laws, the Comptroller and the Workers’ Compensation Commission apply what is referred to as the “Common Law Test.”  This is the same test utilized by the Internal Revenue Service for purposes of federal income tax withholding, Social Security and Medicare taxes, and federal unemployment tax.</w:t>
      </w:r>
    </w:p>
    <w:p w14:paraId="6E29FBD7" w14:textId="77777777" w:rsidR="00416323" w:rsidRPr="00416323" w:rsidRDefault="00416323" w:rsidP="00416323"/>
    <w:p w14:paraId="5BAF5F84" w14:textId="691F7962" w:rsidR="00416323" w:rsidRPr="00416323" w:rsidRDefault="00416323" w:rsidP="00416323">
      <w:r w:rsidRPr="00416323">
        <w:t xml:space="preserve">While all three tests share some common elements, the tests are not identical and may be interpreted differently by different state or federal agencies and courts.  As a result, different </w:t>
      </w:r>
      <w:r w:rsidRPr="00416323">
        <w:lastRenderedPageBreak/>
        <w:t>agencies may come to different conclusions regarding a worker’s status for different statutory purposes.  Task Force members are cognizant of this possibility and are prepared to assist employers to ensure that they are able to comply with the laws of each state agency.</w:t>
      </w:r>
    </w:p>
    <w:p w14:paraId="71F020E5" w14:textId="77777777" w:rsidR="00416323" w:rsidRPr="00416323" w:rsidRDefault="00416323" w:rsidP="00416323"/>
    <w:p w14:paraId="242AD825" w14:textId="77777777" w:rsidR="00416323" w:rsidRPr="00416323" w:rsidRDefault="00416323" w:rsidP="00416323">
      <w:pPr>
        <w:rPr>
          <w:b/>
        </w:rPr>
      </w:pPr>
      <w:r w:rsidRPr="00416323">
        <w:rPr>
          <w:b/>
        </w:rPr>
        <w:t>III.</w:t>
      </w:r>
      <w:r w:rsidRPr="00416323">
        <w:rPr>
          <w:b/>
        </w:rPr>
        <w:tab/>
        <w:t>Proposed Administrative, Legislative or Regulatory Changes</w:t>
      </w:r>
    </w:p>
    <w:p w14:paraId="1AB2CD19" w14:textId="77777777" w:rsidR="00416323" w:rsidRPr="00416323" w:rsidRDefault="00416323" w:rsidP="00416323"/>
    <w:p w14:paraId="587300C3" w14:textId="66F42CE0" w:rsidR="00416323" w:rsidRPr="00416323" w:rsidRDefault="00416323" w:rsidP="00416323">
      <w:r w:rsidRPr="00416323">
        <w:t>The Task Force members have no proposed administrative, legislative, or regulatory changes that would reduce or eliminate any barriers to the Task Force’s operations or enhance the investigation, enforcement, and prevention of misclassification at this time.</w:t>
      </w:r>
    </w:p>
    <w:p w14:paraId="4EF11A05" w14:textId="77777777" w:rsidR="00416323" w:rsidRPr="00416323" w:rsidRDefault="00416323" w:rsidP="00416323"/>
    <w:p w14:paraId="12802236" w14:textId="77777777" w:rsidR="00416323" w:rsidRPr="00416323" w:rsidRDefault="00416323" w:rsidP="00416323">
      <w:pPr>
        <w:rPr>
          <w:b/>
        </w:rPr>
      </w:pPr>
      <w:r w:rsidRPr="00416323">
        <w:rPr>
          <w:b/>
        </w:rPr>
        <w:t>IV.</w:t>
      </w:r>
      <w:r w:rsidRPr="00416323">
        <w:rPr>
          <w:b/>
        </w:rPr>
        <w:tab/>
        <w:t>Strategies for Preventing Misclassification</w:t>
      </w:r>
    </w:p>
    <w:p w14:paraId="58AD36C6" w14:textId="77777777" w:rsidR="00416323" w:rsidRPr="00416323" w:rsidRDefault="00416323" w:rsidP="00416323"/>
    <w:p w14:paraId="081B3CE0" w14:textId="7E740592" w:rsidR="00416323" w:rsidRPr="00416323" w:rsidRDefault="00416323" w:rsidP="00416323">
      <w:r w:rsidRPr="00416323">
        <w:t>In 2016 at the direction of then Secretary of Labor, Licensing and Regulation, Kelly Schulz, the Division of Labor, and Industry initiated a comprehensive outreach program throughout the State.  The purpose of this program is to educate businesses as well as workers, so they may better understand the law, and improve voluntary compliance with the Workplace Fraud Act as well as other wage and hour, labor, and employment laws.  In 2020, the Division of Labor and Industry’s Worker Classification Protection Unit conducted 4 outreach events covering the worker classification law.  These outreach events were held virtually for the convenience of businesses and individuals in all parts of the State.  Response to these outreach events has been overwhelmingly positive, with approximately 156 attendees in 2020.  The Division of Labor and Industry intends to continue offering educational workshops in 2021 to ensure that employers and workers in all areas of the State are armed with the latest information regarding worker classification and compliance with Maryland’s labor and employment laws.</w:t>
      </w:r>
    </w:p>
    <w:p w14:paraId="10D53695" w14:textId="77777777" w:rsidR="00416323" w:rsidRPr="00416323" w:rsidRDefault="00416323"/>
    <w:sectPr w:rsidR="00416323" w:rsidRPr="00416323" w:rsidSect="00940B4D">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E56F" w14:textId="77777777" w:rsidR="00000000" w:rsidRDefault="00806181">
      <w:r>
        <w:separator/>
      </w:r>
    </w:p>
  </w:endnote>
  <w:endnote w:type="continuationSeparator" w:id="0">
    <w:p w14:paraId="19EA8C0F" w14:textId="77777777" w:rsidR="00000000" w:rsidRDefault="0080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FFEF" w14:textId="77777777" w:rsidR="00000000" w:rsidRDefault="00806181">
      <w:r>
        <w:separator/>
      </w:r>
    </w:p>
  </w:footnote>
  <w:footnote w:type="continuationSeparator" w:id="0">
    <w:p w14:paraId="11C564FE" w14:textId="77777777" w:rsidR="00000000" w:rsidRDefault="0080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9A25" w14:textId="5FBD771B" w:rsidR="00FC7A4C" w:rsidRDefault="00416323">
    <w:pPr>
      <w:pStyle w:val="Header"/>
    </w:pPr>
    <w:r>
      <w:rPr>
        <w:noProof/>
      </w:rPr>
      <mc:AlternateContent>
        <mc:Choice Requires="wps">
          <w:drawing>
            <wp:anchor distT="0" distB="0" distL="114300" distR="114300" simplePos="0" relativeHeight="251659264" behindDoc="1" locked="0" layoutInCell="1" allowOverlap="1" wp14:anchorId="17FB02EB" wp14:editId="4EE26EB2">
              <wp:simplePos x="0" y="0"/>
              <wp:positionH relativeFrom="column">
                <wp:posOffset>3605530</wp:posOffset>
              </wp:positionH>
              <wp:positionV relativeFrom="paragraph">
                <wp:posOffset>838200</wp:posOffset>
              </wp:positionV>
              <wp:extent cx="2650490" cy="237490"/>
              <wp:effectExtent l="0" t="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BA4ED" w14:textId="77777777" w:rsidR="00FC7A4C" w:rsidRPr="007B509C" w:rsidRDefault="00806181" w:rsidP="007B509C">
                          <w:pPr>
                            <w:jc w:val="right"/>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B02EB" id="_x0000_t202" coordsize="21600,21600" o:spt="202" path="m,l,21600r21600,l21600,xe">
              <v:stroke joinstyle="miter"/>
              <v:path gradientshapeok="t" o:connecttype="rect"/>
            </v:shapetype>
            <v:shape id="Text Box 1" o:spid="_x0000_s1026" type="#_x0000_t202" style="position:absolute;margin-left:283.9pt;margin-top:66pt;width:208.7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" stroked="f">
              <v:textbox>
                <w:txbxContent>
                  <w:p w14:paraId="13ABA4ED" w14:textId="77777777" w:rsidR="00FC7A4C" w:rsidRPr="007B509C" w:rsidRDefault="00416323" w:rsidP="007B509C">
                    <w:pPr>
                      <w:jc w:val="right"/>
                      <w:rPr>
                        <w:b/>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D53AE"/>
    <w:multiLevelType w:val="hybridMultilevel"/>
    <w:tmpl w:val="C3CAC79A"/>
    <w:lvl w:ilvl="0" w:tplc="2A58DA00">
      <w:start w:val="1"/>
      <w:numFmt w:val="upperLetter"/>
      <w:lvlText w:val="%1."/>
      <w:lvlJc w:val="left"/>
      <w:pPr>
        <w:ind w:left="1464" w:hanging="38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23"/>
    <w:rsid w:val="00416323"/>
    <w:rsid w:val="0080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D0763"/>
  <w15:chartTrackingRefBased/>
  <w15:docId w15:val="{9DCB4456-598F-4905-8F3C-13424CCB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3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6323"/>
    <w:pPr>
      <w:tabs>
        <w:tab w:val="center" w:pos="4320"/>
        <w:tab w:val="right" w:pos="8640"/>
      </w:tabs>
    </w:pPr>
  </w:style>
  <w:style w:type="character" w:customStyle="1" w:styleId="HeaderChar">
    <w:name w:val="Header Char"/>
    <w:basedOn w:val="DefaultParagraphFont"/>
    <w:link w:val="Header"/>
    <w:uiPriority w:val="99"/>
    <w:rsid w:val="00416323"/>
    <w:rPr>
      <w:rFonts w:ascii="Times New Roman" w:eastAsia="Times New Roman" w:hAnsi="Times New Roman" w:cs="Times New Roman"/>
      <w:sz w:val="24"/>
      <w:szCs w:val="24"/>
    </w:rPr>
  </w:style>
  <w:style w:type="character" w:customStyle="1" w:styleId="il">
    <w:name w:val="il"/>
    <w:rsid w:val="00416323"/>
  </w:style>
  <w:style w:type="paragraph" w:styleId="ListParagraph">
    <w:name w:val="List Paragraph"/>
    <w:basedOn w:val="Normal"/>
    <w:uiPriority w:val="34"/>
    <w:qFormat/>
    <w:rsid w:val="0041632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2607</Words>
  <Characters>14862</Characters>
  <Application>Microsoft Office Word</Application>
  <DocSecurity>0</DocSecurity>
  <Lines>123</Lines>
  <Paragraphs>34</Paragraphs>
  <ScaleCrop>false</ScaleCrop>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Williams</dc:creator>
  <cp:keywords/>
  <dc:description/>
  <cp:lastModifiedBy>Katrina Williams</cp:lastModifiedBy>
  <cp:revision>2</cp:revision>
  <dcterms:created xsi:type="dcterms:W3CDTF">2021-04-19T15:34:00Z</dcterms:created>
  <dcterms:modified xsi:type="dcterms:W3CDTF">2021-04-22T14:27:00Z</dcterms:modified>
</cp:coreProperties>
</file>