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2DBA7" w14:textId="1E9727A5" w:rsidR="00835149" w:rsidRPr="001C7897" w:rsidRDefault="00835149" w:rsidP="001C7897">
      <w:pPr>
        <w:shd w:val="clear" w:color="auto" w:fill="FFFFFF"/>
        <w:spacing w:after="300" w:line="420" w:lineRule="atLeast"/>
        <w:jc w:val="center"/>
        <w:outlineLvl w:val="0"/>
        <w:rPr>
          <w:rFonts w:ascii="Arial" w:eastAsia="Times New Roman" w:hAnsi="Arial" w:cs="Arial"/>
          <w:b/>
          <w:bCs/>
          <w:kern w:val="36"/>
          <w:sz w:val="48"/>
          <w:szCs w:val="48"/>
        </w:rPr>
      </w:pPr>
      <w:r w:rsidRPr="001C7897">
        <w:rPr>
          <w:rFonts w:ascii="Arial" w:eastAsia="Times New Roman" w:hAnsi="Arial" w:cs="Arial"/>
          <w:b/>
          <w:bCs/>
          <w:kern w:val="36"/>
          <w:sz w:val="48"/>
          <w:szCs w:val="48"/>
        </w:rPr>
        <w:t xml:space="preserve">2021 </w:t>
      </w:r>
      <w:r w:rsidR="00B55C8A">
        <w:rPr>
          <w:rFonts w:ascii="Arial" w:eastAsia="Times New Roman" w:hAnsi="Arial" w:cs="Arial"/>
          <w:b/>
          <w:bCs/>
          <w:kern w:val="36"/>
          <w:sz w:val="48"/>
          <w:szCs w:val="48"/>
        </w:rPr>
        <w:t>Survey of Occupational Injuries and Illnesses</w:t>
      </w:r>
      <w:r w:rsidRPr="001C7897">
        <w:rPr>
          <w:rFonts w:ascii="Arial" w:eastAsia="Times New Roman" w:hAnsi="Arial" w:cs="Arial"/>
          <w:b/>
          <w:bCs/>
          <w:kern w:val="36"/>
          <w:sz w:val="48"/>
          <w:szCs w:val="48"/>
        </w:rPr>
        <w:t xml:space="preserve"> </w:t>
      </w:r>
      <w:r w:rsidR="008B3E01">
        <w:rPr>
          <w:rFonts w:ascii="Arial" w:eastAsia="Times New Roman" w:hAnsi="Arial" w:cs="Arial"/>
          <w:b/>
          <w:bCs/>
          <w:kern w:val="36"/>
          <w:sz w:val="48"/>
          <w:szCs w:val="48"/>
        </w:rPr>
        <w:t>(SOII)</w:t>
      </w:r>
    </w:p>
    <w:p w14:paraId="67318F33" w14:textId="77777777" w:rsidR="0052156E" w:rsidRPr="001C7897" w:rsidRDefault="0052156E" w:rsidP="0052156E">
      <w:pPr>
        <w:rPr>
          <w:rFonts w:ascii="Arial" w:hAnsi="Arial" w:cs="Arial"/>
          <w:sz w:val="21"/>
          <w:szCs w:val="21"/>
          <w:shd w:val="clear" w:color="auto" w:fill="FFFFFF"/>
        </w:rPr>
      </w:pPr>
      <w:r w:rsidRPr="001C7897">
        <w:rPr>
          <w:rFonts w:ascii="Arial" w:hAnsi="Arial" w:cs="Arial"/>
          <w:sz w:val="21"/>
          <w:szCs w:val="21"/>
          <w:shd w:val="clear" w:color="auto" w:fill="FFFFFF"/>
        </w:rPr>
        <w:t>In 2021, approximately 58,300 nonfatal workplace injuries and illnesses were reported through the Bureau of Labor Statistics’ Survey of Occupational Injuries and Illnesses by Maryland’s private sector and State and local government employers.</w:t>
      </w:r>
    </w:p>
    <w:p w14:paraId="734F8957" w14:textId="77777777" w:rsidR="0052156E" w:rsidRPr="001C7897" w:rsidRDefault="0052156E" w:rsidP="0052156E">
      <w:pPr>
        <w:rPr>
          <w:rFonts w:ascii="Arial" w:hAnsi="Arial" w:cs="Arial"/>
          <w:sz w:val="21"/>
          <w:szCs w:val="21"/>
          <w:shd w:val="clear" w:color="auto" w:fill="FFFFFF"/>
        </w:rPr>
      </w:pPr>
      <w:r w:rsidRPr="001C7897">
        <w:rPr>
          <w:rFonts w:ascii="Arial" w:hAnsi="Arial" w:cs="Arial"/>
          <w:sz w:val="21"/>
          <w:szCs w:val="21"/>
          <w:shd w:val="clear" w:color="auto" w:fill="FFFFFF"/>
        </w:rPr>
        <w:t>The injuries and illnesses occurred at a rate of 2.9 cases per 100 full-time equivalent workers. This rate was an increase from the previous year‘s rate of 2.6 per 100 full-time equivalent workers. The Survey of Occupational Injuries and Illnesses or (SOII) is a cooperative program between the Maryland Department of Labor, Licensing and Regulation, Division of Labor and Industry and the U.S. Department of Labor, Bureau of Labor Statistics.</w:t>
      </w:r>
    </w:p>
    <w:p w14:paraId="4D54CB6F" w14:textId="77777777" w:rsidR="0052156E" w:rsidRPr="001C7897" w:rsidRDefault="0052156E" w:rsidP="0052156E">
      <w:pPr>
        <w:rPr>
          <w:rFonts w:ascii="Arial" w:hAnsi="Arial" w:cs="Arial"/>
          <w:sz w:val="21"/>
          <w:szCs w:val="21"/>
          <w:shd w:val="clear" w:color="auto" w:fill="FFFFFF"/>
        </w:rPr>
      </w:pPr>
      <w:r w:rsidRPr="001C7897">
        <w:rPr>
          <w:rFonts w:ascii="Arial" w:hAnsi="Arial" w:cs="Arial"/>
          <w:sz w:val="21"/>
          <w:szCs w:val="21"/>
          <w:shd w:val="clear" w:color="auto" w:fill="FFFFFF"/>
        </w:rPr>
        <w:t>In 2021 there were approximately 2.4 million workers in the State under the Maryland Occupational Safety and Health (MOSH) agency’s regulatory oversight.</w:t>
      </w:r>
    </w:p>
    <w:p w14:paraId="490D52D7" w14:textId="77777777" w:rsidR="0052156E" w:rsidRPr="001C7897" w:rsidRDefault="0052156E" w:rsidP="0052156E">
      <w:pPr>
        <w:rPr>
          <w:rStyle w:val="Strong"/>
          <w:rFonts w:ascii="Arial" w:hAnsi="Arial" w:cs="Arial"/>
          <w:sz w:val="21"/>
          <w:szCs w:val="21"/>
          <w:shd w:val="clear" w:color="auto" w:fill="FFFFFF"/>
        </w:rPr>
      </w:pPr>
      <w:r w:rsidRPr="001C7897">
        <w:rPr>
          <w:rStyle w:val="Strong"/>
          <w:rFonts w:ascii="Arial" w:hAnsi="Arial" w:cs="Arial"/>
          <w:sz w:val="21"/>
          <w:szCs w:val="21"/>
          <w:shd w:val="clear" w:color="auto" w:fill="FFFFFF"/>
        </w:rPr>
        <w:t>Maryland’s Private Sector</w:t>
      </w:r>
    </w:p>
    <w:p w14:paraId="1F2FE311" w14:textId="32ADEE90" w:rsidR="007814E1" w:rsidRPr="001C7897" w:rsidRDefault="007814E1" w:rsidP="007814E1">
      <w:pPr>
        <w:pStyle w:val="NormalWeb"/>
        <w:shd w:val="clear" w:color="auto" w:fill="FFFFFF"/>
        <w:rPr>
          <w:rFonts w:ascii="Arial" w:hAnsi="Arial" w:cs="Arial"/>
          <w:sz w:val="21"/>
          <w:szCs w:val="21"/>
        </w:rPr>
      </w:pPr>
      <w:r w:rsidRPr="001C7897">
        <w:rPr>
          <w:rFonts w:ascii="Arial" w:hAnsi="Arial" w:cs="Arial"/>
          <w:sz w:val="21"/>
          <w:szCs w:val="21"/>
        </w:rPr>
        <w:t>Maryland’s priv</w:t>
      </w:r>
      <w:r w:rsidR="00300683" w:rsidRPr="001C7897">
        <w:rPr>
          <w:rFonts w:ascii="Arial" w:hAnsi="Arial" w:cs="Arial"/>
          <w:sz w:val="21"/>
          <w:szCs w:val="21"/>
        </w:rPr>
        <w:t>ate sector employers reported 45,8</w:t>
      </w:r>
      <w:r w:rsidRPr="001C7897">
        <w:rPr>
          <w:rFonts w:ascii="Arial" w:hAnsi="Arial" w:cs="Arial"/>
          <w:sz w:val="21"/>
          <w:szCs w:val="21"/>
        </w:rPr>
        <w:t>00 nonfatal</w:t>
      </w:r>
      <w:r w:rsidR="00300683" w:rsidRPr="001C7897">
        <w:rPr>
          <w:rFonts w:ascii="Arial" w:hAnsi="Arial" w:cs="Arial"/>
          <w:sz w:val="21"/>
          <w:szCs w:val="21"/>
        </w:rPr>
        <w:t xml:space="preserve"> injuries and illnesses for 2021</w:t>
      </w:r>
      <w:r w:rsidRPr="001C7897">
        <w:rPr>
          <w:rFonts w:ascii="Arial" w:hAnsi="Arial" w:cs="Arial"/>
          <w:sz w:val="21"/>
          <w:szCs w:val="21"/>
        </w:rPr>
        <w:t xml:space="preserve"> compared to 4</w:t>
      </w:r>
      <w:r w:rsidR="00965E7E" w:rsidRPr="001C7897">
        <w:rPr>
          <w:rFonts w:ascii="Arial" w:hAnsi="Arial" w:cs="Arial"/>
          <w:sz w:val="21"/>
          <w:szCs w:val="21"/>
        </w:rPr>
        <w:t>2,400</w:t>
      </w:r>
      <w:r w:rsidRPr="001C7897">
        <w:rPr>
          <w:rFonts w:ascii="Arial" w:hAnsi="Arial" w:cs="Arial"/>
          <w:sz w:val="21"/>
          <w:szCs w:val="21"/>
        </w:rPr>
        <w:t xml:space="preserve"> </w:t>
      </w:r>
      <w:r w:rsidR="008C334B" w:rsidRPr="001C7897">
        <w:rPr>
          <w:rFonts w:ascii="Arial" w:hAnsi="Arial" w:cs="Arial"/>
          <w:sz w:val="21"/>
          <w:szCs w:val="21"/>
        </w:rPr>
        <w:t>reported in 2020</w:t>
      </w:r>
      <w:r w:rsidRPr="001C7897">
        <w:rPr>
          <w:rFonts w:ascii="Arial" w:hAnsi="Arial" w:cs="Arial"/>
          <w:sz w:val="21"/>
          <w:szCs w:val="21"/>
        </w:rPr>
        <w:t>. Injuries and illnesses in private in</w:t>
      </w:r>
      <w:r w:rsidR="00E90A6C" w:rsidRPr="001C7897">
        <w:rPr>
          <w:rFonts w:ascii="Arial" w:hAnsi="Arial" w:cs="Arial"/>
          <w:sz w:val="21"/>
          <w:szCs w:val="21"/>
        </w:rPr>
        <w:t>dustry occurred at a rate of 2.7</w:t>
      </w:r>
      <w:r w:rsidRPr="001C7897">
        <w:rPr>
          <w:rFonts w:ascii="Arial" w:hAnsi="Arial" w:cs="Arial"/>
          <w:sz w:val="21"/>
          <w:szCs w:val="21"/>
        </w:rPr>
        <w:t xml:space="preserve"> cases per 100 equivalent full-time workers</w:t>
      </w:r>
      <w:r w:rsidR="00965E7E" w:rsidRPr="001C7897">
        <w:rPr>
          <w:rFonts w:ascii="Arial" w:hAnsi="Arial" w:cs="Arial"/>
          <w:sz w:val="21"/>
          <w:szCs w:val="21"/>
        </w:rPr>
        <w:t xml:space="preserve"> in 2021</w:t>
      </w:r>
      <w:r w:rsidRPr="001C7897">
        <w:rPr>
          <w:rFonts w:ascii="Arial" w:hAnsi="Arial" w:cs="Arial"/>
          <w:sz w:val="21"/>
          <w:szCs w:val="21"/>
        </w:rPr>
        <w:t xml:space="preserve">. Cases of a more serious nature involving days away from work, job transfers, or restrictions -- commonly referred to as the DART rate, occurred at a rate of </w:t>
      </w:r>
      <w:r w:rsidR="001B07D5" w:rsidRPr="001C7897">
        <w:rPr>
          <w:rFonts w:ascii="Arial" w:hAnsi="Arial" w:cs="Arial"/>
          <w:sz w:val="21"/>
          <w:szCs w:val="21"/>
        </w:rPr>
        <w:t>1.7</w:t>
      </w:r>
      <w:r w:rsidRPr="001C7897">
        <w:rPr>
          <w:rFonts w:ascii="Arial" w:hAnsi="Arial" w:cs="Arial"/>
          <w:sz w:val="21"/>
          <w:szCs w:val="21"/>
        </w:rPr>
        <w:t xml:space="preserve"> cases per 100 full-time equivalent workers. There were </w:t>
      </w:r>
      <w:r w:rsidR="001B07D5" w:rsidRPr="001C7897">
        <w:rPr>
          <w:rFonts w:ascii="Arial" w:hAnsi="Arial" w:cs="Arial"/>
          <w:sz w:val="21"/>
          <w:szCs w:val="21"/>
        </w:rPr>
        <w:t>29,300</w:t>
      </w:r>
      <w:r w:rsidRPr="001C7897">
        <w:rPr>
          <w:rFonts w:ascii="Arial" w:hAnsi="Arial" w:cs="Arial"/>
          <w:sz w:val="21"/>
          <w:szCs w:val="21"/>
        </w:rPr>
        <w:t xml:space="preserve"> such cases reported.</w:t>
      </w:r>
      <w:r w:rsidR="009A375A" w:rsidRPr="001C7897">
        <w:rPr>
          <w:rFonts w:ascii="Arial" w:hAnsi="Arial" w:cs="Arial"/>
          <w:sz w:val="21"/>
          <w:szCs w:val="21"/>
        </w:rPr>
        <w:t xml:space="preserve"> </w:t>
      </w:r>
      <w:r w:rsidRPr="001C7897">
        <w:rPr>
          <w:rFonts w:ascii="Arial" w:hAnsi="Arial" w:cs="Arial"/>
          <w:sz w:val="21"/>
          <w:szCs w:val="21"/>
        </w:rPr>
        <w:t xml:space="preserve">Rates of injury and illness </w:t>
      </w:r>
      <w:r w:rsidR="008528C7" w:rsidRPr="001C7897">
        <w:rPr>
          <w:rFonts w:ascii="Arial" w:hAnsi="Arial" w:cs="Arial"/>
          <w:sz w:val="21"/>
          <w:szCs w:val="21"/>
        </w:rPr>
        <w:t>in the private sector</w:t>
      </w:r>
      <w:r w:rsidRPr="001C7897">
        <w:rPr>
          <w:rFonts w:ascii="Arial" w:hAnsi="Arial" w:cs="Arial"/>
          <w:sz w:val="21"/>
          <w:szCs w:val="21"/>
        </w:rPr>
        <w:t xml:space="preserve"> ranged from a total recordable case incidence rate of </w:t>
      </w:r>
      <w:r w:rsidR="008528C7" w:rsidRPr="001C7897">
        <w:rPr>
          <w:rFonts w:ascii="Arial" w:hAnsi="Arial" w:cs="Arial"/>
          <w:sz w:val="21"/>
          <w:szCs w:val="21"/>
        </w:rPr>
        <w:t>0.4</w:t>
      </w:r>
      <w:r w:rsidRPr="001C7897">
        <w:rPr>
          <w:rFonts w:ascii="Arial" w:hAnsi="Arial" w:cs="Arial"/>
          <w:sz w:val="21"/>
          <w:szCs w:val="21"/>
        </w:rPr>
        <w:t xml:space="preserve"> injuries and illnesses per 100 full-time equivalent workers for </w:t>
      </w:r>
      <w:r w:rsidR="008528C7" w:rsidRPr="001C7897">
        <w:rPr>
          <w:rFonts w:ascii="Arial" w:hAnsi="Arial" w:cs="Arial"/>
          <w:sz w:val="21"/>
          <w:szCs w:val="21"/>
        </w:rPr>
        <w:t>Computer and electronic product manufacturing (NAICS 334</w:t>
      </w:r>
      <w:r w:rsidRPr="001C7897">
        <w:rPr>
          <w:rFonts w:ascii="Arial" w:hAnsi="Arial" w:cs="Arial"/>
          <w:sz w:val="21"/>
          <w:szCs w:val="21"/>
        </w:rPr>
        <w:t xml:space="preserve">) to a rate of </w:t>
      </w:r>
      <w:r w:rsidR="008528C7" w:rsidRPr="001C7897">
        <w:rPr>
          <w:rFonts w:ascii="Arial" w:hAnsi="Arial" w:cs="Arial"/>
          <w:sz w:val="21"/>
          <w:szCs w:val="21"/>
        </w:rPr>
        <w:t>16.7</w:t>
      </w:r>
      <w:r w:rsidRPr="001C7897">
        <w:rPr>
          <w:rFonts w:ascii="Arial" w:hAnsi="Arial" w:cs="Arial"/>
          <w:sz w:val="21"/>
          <w:szCs w:val="21"/>
        </w:rPr>
        <w:t xml:space="preserve"> for </w:t>
      </w:r>
      <w:r w:rsidR="008528C7" w:rsidRPr="001C7897">
        <w:rPr>
          <w:rFonts w:ascii="Arial" w:hAnsi="Arial" w:cs="Arial"/>
          <w:sz w:val="21"/>
          <w:szCs w:val="21"/>
        </w:rPr>
        <w:t>Air transportation (NAICS 481</w:t>
      </w:r>
      <w:r w:rsidRPr="001C7897">
        <w:rPr>
          <w:rFonts w:ascii="Arial" w:hAnsi="Arial" w:cs="Arial"/>
          <w:sz w:val="21"/>
          <w:szCs w:val="21"/>
        </w:rPr>
        <w:t xml:space="preserve">). </w:t>
      </w:r>
    </w:p>
    <w:p w14:paraId="0B26B84E" w14:textId="77777777" w:rsidR="007814E1" w:rsidRPr="001C7897" w:rsidRDefault="007814E1" w:rsidP="007814E1">
      <w:pPr>
        <w:pStyle w:val="NormalWeb"/>
        <w:shd w:val="clear" w:color="auto" w:fill="FFFFFF"/>
        <w:rPr>
          <w:rFonts w:ascii="Arial" w:hAnsi="Arial" w:cs="Arial"/>
          <w:sz w:val="21"/>
          <w:szCs w:val="21"/>
        </w:rPr>
      </w:pPr>
      <w:r w:rsidRPr="001C7897">
        <w:rPr>
          <w:rFonts w:ascii="Arial" w:hAnsi="Arial" w:cs="Arial"/>
          <w:sz w:val="21"/>
          <w:szCs w:val="21"/>
        </w:rPr>
        <w:t>Eighty</w:t>
      </w:r>
      <w:r w:rsidR="001E04B0" w:rsidRPr="001C7897">
        <w:rPr>
          <w:rFonts w:ascii="Arial" w:hAnsi="Arial" w:cs="Arial"/>
          <w:sz w:val="21"/>
          <w:szCs w:val="21"/>
        </w:rPr>
        <w:t>-six</w:t>
      </w:r>
      <w:r w:rsidRPr="001C7897">
        <w:rPr>
          <w:rFonts w:ascii="Arial" w:hAnsi="Arial" w:cs="Arial"/>
          <w:sz w:val="21"/>
          <w:szCs w:val="21"/>
        </w:rPr>
        <w:t xml:space="preserve"> percent of private industry’s reported injuries and illnesses occurred in service-providing industries with 3</w:t>
      </w:r>
      <w:r w:rsidR="001E04B0" w:rsidRPr="001C7897">
        <w:rPr>
          <w:rFonts w:ascii="Arial" w:hAnsi="Arial" w:cs="Arial"/>
          <w:sz w:val="21"/>
          <w:szCs w:val="21"/>
        </w:rPr>
        <w:t>9</w:t>
      </w:r>
      <w:r w:rsidRPr="001C7897">
        <w:rPr>
          <w:rFonts w:ascii="Arial" w:hAnsi="Arial" w:cs="Arial"/>
          <w:sz w:val="21"/>
          <w:szCs w:val="21"/>
        </w:rPr>
        <w:t xml:space="preserve">,300 cases while goods-producing industries accounted for </w:t>
      </w:r>
      <w:r w:rsidR="001E04B0" w:rsidRPr="001C7897">
        <w:rPr>
          <w:rFonts w:ascii="Arial" w:hAnsi="Arial" w:cs="Arial"/>
          <w:sz w:val="21"/>
          <w:szCs w:val="21"/>
        </w:rPr>
        <w:t>14 percent of the total with 6</w:t>
      </w:r>
      <w:r w:rsidRPr="001C7897">
        <w:rPr>
          <w:rFonts w:ascii="Arial" w:hAnsi="Arial" w:cs="Arial"/>
          <w:sz w:val="21"/>
          <w:szCs w:val="21"/>
        </w:rPr>
        <w:t>,</w:t>
      </w:r>
      <w:r w:rsidR="001E04B0" w:rsidRPr="001C7897">
        <w:rPr>
          <w:rFonts w:ascii="Arial" w:hAnsi="Arial" w:cs="Arial"/>
          <w:sz w:val="21"/>
          <w:szCs w:val="21"/>
        </w:rPr>
        <w:t>5</w:t>
      </w:r>
      <w:r w:rsidRPr="001C7897">
        <w:rPr>
          <w:rFonts w:ascii="Arial" w:hAnsi="Arial" w:cs="Arial"/>
          <w:sz w:val="21"/>
          <w:szCs w:val="21"/>
        </w:rPr>
        <w:t xml:space="preserve">00 cases. Injury and illness estimates for Maryland’s </w:t>
      </w:r>
      <w:r w:rsidR="001E04B0" w:rsidRPr="001C7897">
        <w:rPr>
          <w:rFonts w:ascii="Arial" w:hAnsi="Arial" w:cs="Arial"/>
          <w:sz w:val="21"/>
          <w:szCs w:val="21"/>
        </w:rPr>
        <w:t>private sector covered just under</w:t>
      </w:r>
      <w:r w:rsidRPr="001C7897">
        <w:rPr>
          <w:rFonts w:ascii="Arial" w:hAnsi="Arial" w:cs="Arial"/>
          <w:sz w:val="21"/>
          <w:szCs w:val="21"/>
        </w:rPr>
        <w:t xml:space="preserve"> 2.1 million workers, based on the Maryland Department of Labor, Licensing and Regulation’s labor market information and the Quarterly Census of Employment and Wages program.</w:t>
      </w:r>
    </w:p>
    <w:p w14:paraId="6779337E" w14:textId="77777777" w:rsidR="00CB6C31" w:rsidRPr="001C7897" w:rsidRDefault="007814E1" w:rsidP="007814E1">
      <w:pPr>
        <w:pStyle w:val="NormalWeb"/>
        <w:shd w:val="clear" w:color="auto" w:fill="FFFFFF"/>
        <w:rPr>
          <w:rFonts w:ascii="Arial" w:hAnsi="Arial" w:cs="Arial"/>
          <w:sz w:val="21"/>
          <w:szCs w:val="21"/>
        </w:rPr>
      </w:pPr>
      <w:r w:rsidRPr="001C7897">
        <w:rPr>
          <w:rFonts w:ascii="Arial" w:hAnsi="Arial" w:cs="Arial"/>
          <w:sz w:val="21"/>
          <w:szCs w:val="21"/>
        </w:rPr>
        <w:t xml:space="preserve">Maryland’s private sector total </w:t>
      </w:r>
      <w:r w:rsidR="007E0014" w:rsidRPr="001C7897">
        <w:rPr>
          <w:rFonts w:ascii="Arial" w:hAnsi="Arial" w:cs="Arial"/>
          <w:sz w:val="21"/>
          <w:szCs w:val="21"/>
        </w:rPr>
        <w:t>recordable case rate of 2.7</w:t>
      </w:r>
      <w:r w:rsidRPr="001C7897">
        <w:rPr>
          <w:rFonts w:ascii="Arial" w:hAnsi="Arial" w:cs="Arial"/>
          <w:sz w:val="21"/>
          <w:szCs w:val="21"/>
        </w:rPr>
        <w:t xml:space="preserve"> injuries and illnesses per 100 full-time equivalent workers was </w:t>
      </w:r>
      <w:r w:rsidR="007E0014" w:rsidRPr="001C7897">
        <w:rPr>
          <w:rFonts w:ascii="Arial" w:hAnsi="Arial" w:cs="Arial"/>
          <w:sz w:val="21"/>
          <w:szCs w:val="21"/>
        </w:rPr>
        <w:t xml:space="preserve">the exact same as </w:t>
      </w:r>
      <w:r w:rsidRPr="001C7897">
        <w:rPr>
          <w:rFonts w:ascii="Arial" w:hAnsi="Arial" w:cs="Arial"/>
          <w:sz w:val="21"/>
          <w:szCs w:val="21"/>
        </w:rPr>
        <w:t>the U</w:t>
      </w:r>
      <w:r w:rsidR="007E0014" w:rsidRPr="001C7897">
        <w:rPr>
          <w:rFonts w:ascii="Arial" w:hAnsi="Arial" w:cs="Arial"/>
          <w:sz w:val="21"/>
          <w:szCs w:val="21"/>
        </w:rPr>
        <w:t>.S. private sector’s rate of 2.7</w:t>
      </w:r>
      <w:r w:rsidRPr="001C7897">
        <w:rPr>
          <w:rFonts w:ascii="Arial" w:hAnsi="Arial" w:cs="Arial"/>
          <w:sz w:val="21"/>
          <w:szCs w:val="21"/>
        </w:rPr>
        <w:t xml:space="preserve">. </w:t>
      </w:r>
    </w:p>
    <w:p w14:paraId="2FB95A97" w14:textId="77777777" w:rsidR="00800938" w:rsidRPr="001C7897" w:rsidRDefault="00800938" w:rsidP="00800938">
      <w:pPr>
        <w:pStyle w:val="NormalWeb"/>
        <w:shd w:val="clear" w:color="auto" w:fill="FFFFFF"/>
        <w:rPr>
          <w:rFonts w:ascii="Arial" w:hAnsi="Arial" w:cs="Arial"/>
          <w:sz w:val="21"/>
          <w:szCs w:val="21"/>
        </w:rPr>
      </w:pPr>
      <w:r w:rsidRPr="001C7897">
        <w:rPr>
          <w:rStyle w:val="Strong"/>
          <w:rFonts w:ascii="Arial" w:hAnsi="Arial" w:cs="Arial"/>
          <w:sz w:val="21"/>
          <w:szCs w:val="21"/>
        </w:rPr>
        <w:t>Maryland’s State and Local Government</w:t>
      </w:r>
    </w:p>
    <w:p w14:paraId="74D52952" w14:textId="77777777" w:rsidR="00DE4B2A" w:rsidRPr="001C7897" w:rsidRDefault="00800938" w:rsidP="00800938">
      <w:pPr>
        <w:pStyle w:val="NormalWeb"/>
        <w:shd w:val="clear" w:color="auto" w:fill="FFFFFF"/>
        <w:rPr>
          <w:rFonts w:ascii="Arial" w:hAnsi="Arial" w:cs="Arial"/>
          <w:sz w:val="21"/>
          <w:szCs w:val="21"/>
        </w:rPr>
      </w:pPr>
      <w:r w:rsidRPr="001C7897">
        <w:rPr>
          <w:rFonts w:ascii="Arial" w:hAnsi="Arial" w:cs="Arial"/>
          <w:sz w:val="21"/>
          <w:szCs w:val="21"/>
        </w:rPr>
        <w:t>Collectively, Maryland state and local</w:t>
      </w:r>
      <w:r w:rsidR="00D05D38" w:rsidRPr="001C7897">
        <w:rPr>
          <w:rFonts w:ascii="Arial" w:hAnsi="Arial" w:cs="Arial"/>
          <w:sz w:val="21"/>
          <w:szCs w:val="21"/>
        </w:rPr>
        <w:t xml:space="preserve"> government agencies reported 12,5</w:t>
      </w:r>
      <w:r w:rsidRPr="001C7897">
        <w:rPr>
          <w:rFonts w:ascii="Arial" w:hAnsi="Arial" w:cs="Arial"/>
          <w:sz w:val="21"/>
          <w:szCs w:val="21"/>
        </w:rPr>
        <w:t xml:space="preserve">00 new cases of occupational injury and illness in </w:t>
      </w:r>
      <w:r w:rsidR="00D05D38" w:rsidRPr="001C7897">
        <w:rPr>
          <w:rFonts w:ascii="Arial" w:hAnsi="Arial" w:cs="Arial"/>
          <w:sz w:val="21"/>
          <w:szCs w:val="21"/>
        </w:rPr>
        <w:t>2021</w:t>
      </w:r>
      <w:r w:rsidRPr="001C7897">
        <w:rPr>
          <w:rFonts w:ascii="Arial" w:hAnsi="Arial" w:cs="Arial"/>
          <w:sz w:val="21"/>
          <w:szCs w:val="21"/>
        </w:rPr>
        <w:t xml:space="preserve"> with a total recordable </w:t>
      </w:r>
      <w:r w:rsidR="00D05D38" w:rsidRPr="001C7897">
        <w:rPr>
          <w:rFonts w:ascii="Arial" w:hAnsi="Arial" w:cs="Arial"/>
          <w:sz w:val="21"/>
          <w:szCs w:val="21"/>
        </w:rPr>
        <w:t>case (TRC) incidence rate of 4.7</w:t>
      </w:r>
      <w:r w:rsidRPr="001C7897">
        <w:rPr>
          <w:rFonts w:ascii="Arial" w:hAnsi="Arial" w:cs="Arial"/>
          <w:sz w:val="21"/>
          <w:szCs w:val="21"/>
        </w:rPr>
        <w:t xml:space="preserve"> injuries and illnesses per 100 full-time equivalent workers. Local governmen</w:t>
      </w:r>
      <w:r w:rsidR="0093744F" w:rsidRPr="001C7897">
        <w:rPr>
          <w:rFonts w:ascii="Arial" w:hAnsi="Arial" w:cs="Arial"/>
          <w:sz w:val="21"/>
          <w:szCs w:val="21"/>
        </w:rPr>
        <w:t>t accounted for approximately 78</w:t>
      </w:r>
      <w:r w:rsidRPr="001C7897">
        <w:rPr>
          <w:rFonts w:ascii="Arial" w:hAnsi="Arial" w:cs="Arial"/>
          <w:sz w:val="21"/>
          <w:szCs w:val="21"/>
        </w:rPr>
        <w:t xml:space="preserve"> percent of the public sector cases. </w:t>
      </w:r>
    </w:p>
    <w:p w14:paraId="309F2028" w14:textId="7357F507" w:rsidR="00A04F6D" w:rsidRPr="001C7897" w:rsidRDefault="00883D02" w:rsidP="00800938">
      <w:pPr>
        <w:pStyle w:val="NormalWeb"/>
        <w:shd w:val="clear" w:color="auto" w:fill="FFFFFF"/>
        <w:rPr>
          <w:rFonts w:ascii="Arial" w:hAnsi="Arial" w:cs="Arial"/>
          <w:sz w:val="21"/>
          <w:szCs w:val="21"/>
        </w:rPr>
      </w:pPr>
      <w:r w:rsidRPr="001C7897">
        <w:rPr>
          <w:rFonts w:ascii="Arial" w:hAnsi="Arial" w:cs="Arial"/>
          <w:sz w:val="21"/>
          <w:szCs w:val="21"/>
        </w:rPr>
        <w:t>In 2021, the Maryland State government’s TRC rate was</w:t>
      </w:r>
      <w:r w:rsidR="00800938" w:rsidRPr="001C7897">
        <w:rPr>
          <w:rFonts w:ascii="Arial" w:hAnsi="Arial" w:cs="Arial"/>
          <w:sz w:val="21"/>
          <w:szCs w:val="21"/>
        </w:rPr>
        <w:t xml:space="preserve"> </w:t>
      </w:r>
      <w:r w:rsidR="000C709B" w:rsidRPr="001C7897">
        <w:rPr>
          <w:rFonts w:ascii="Arial" w:hAnsi="Arial" w:cs="Arial"/>
          <w:sz w:val="21"/>
          <w:szCs w:val="21"/>
        </w:rPr>
        <w:t>3.2</w:t>
      </w:r>
      <w:r w:rsidR="00800938" w:rsidRPr="001C7897">
        <w:rPr>
          <w:rFonts w:ascii="Arial" w:hAnsi="Arial" w:cs="Arial"/>
          <w:sz w:val="21"/>
          <w:szCs w:val="21"/>
        </w:rPr>
        <w:t xml:space="preserve"> injury and illness cases per 100 full-time equivalent workers</w:t>
      </w:r>
      <w:r w:rsidRPr="001C7897">
        <w:rPr>
          <w:rFonts w:ascii="Arial" w:hAnsi="Arial" w:cs="Arial"/>
          <w:sz w:val="21"/>
          <w:szCs w:val="21"/>
        </w:rPr>
        <w:t xml:space="preserve"> as compared to </w:t>
      </w:r>
      <w:r w:rsidR="000C709B" w:rsidRPr="001C7897">
        <w:rPr>
          <w:rFonts w:ascii="Arial" w:hAnsi="Arial" w:cs="Arial"/>
          <w:sz w:val="21"/>
          <w:szCs w:val="21"/>
        </w:rPr>
        <w:t>the previous year’s rate of 3.0</w:t>
      </w:r>
      <w:r w:rsidR="00800938" w:rsidRPr="001C7897">
        <w:rPr>
          <w:rFonts w:ascii="Arial" w:hAnsi="Arial" w:cs="Arial"/>
          <w:sz w:val="21"/>
          <w:szCs w:val="21"/>
        </w:rPr>
        <w:t xml:space="preserve">. Maryland state government’s TRC rate </w:t>
      </w:r>
      <w:r w:rsidR="001120D4" w:rsidRPr="001C7897">
        <w:rPr>
          <w:rFonts w:ascii="Arial" w:hAnsi="Arial" w:cs="Arial"/>
          <w:sz w:val="21"/>
          <w:szCs w:val="21"/>
        </w:rPr>
        <w:t xml:space="preserve">in 2021 </w:t>
      </w:r>
      <w:r w:rsidR="00800938" w:rsidRPr="001C7897">
        <w:rPr>
          <w:rFonts w:ascii="Arial" w:hAnsi="Arial" w:cs="Arial"/>
          <w:sz w:val="21"/>
          <w:szCs w:val="21"/>
        </w:rPr>
        <w:t xml:space="preserve">was </w:t>
      </w:r>
      <w:r w:rsidR="00164396" w:rsidRPr="001C7897">
        <w:rPr>
          <w:rFonts w:ascii="Arial" w:hAnsi="Arial" w:cs="Arial"/>
          <w:sz w:val="21"/>
          <w:szCs w:val="21"/>
        </w:rPr>
        <w:t>the same as</w:t>
      </w:r>
      <w:r w:rsidR="00800938" w:rsidRPr="001C7897">
        <w:rPr>
          <w:rFonts w:ascii="Arial" w:hAnsi="Arial" w:cs="Arial"/>
          <w:sz w:val="21"/>
          <w:szCs w:val="21"/>
        </w:rPr>
        <w:t xml:space="preserve"> the U.S. rate for all state government.</w:t>
      </w:r>
    </w:p>
    <w:p w14:paraId="63A171A0" w14:textId="77777777" w:rsidR="00800938" w:rsidRPr="001C7897" w:rsidRDefault="00800938" w:rsidP="00800938">
      <w:pPr>
        <w:pStyle w:val="NormalWeb"/>
        <w:shd w:val="clear" w:color="auto" w:fill="FFFFFF"/>
        <w:rPr>
          <w:rFonts w:ascii="Arial" w:hAnsi="Arial" w:cs="Arial"/>
          <w:sz w:val="21"/>
          <w:szCs w:val="21"/>
        </w:rPr>
      </w:pPr>
      <w:r>
        <w:rPr>
          <w:rFonts w:ascii="Arial" w:hAnsi="Arial" w:cs="Arial"/>
          <w:color w:val="333333"/>
          <w:sz w:val="21"/>
          <w:szCs w:val="21"/>
        </w:rPr>
        <w:lastRenderedPageBreak/>
        <w:br/>
      </w:r>
      <w:r w:rsidRPr="001C7897">
        <w:rPr>
          <w:rFonts w:ascii="Arial" w:hAnsi="Arial" w:cs="Arial"/>
          <w:sz w:val="21"/>
          <w:szCs w:val="21"/>
        </w:rPr>
        <w:t xml:space="preserve">Industries in State government reporting </w:t>
      </w:r>
      <w:r w:rsidR="00A953B4" w:rsidRPr="001C7897">
        <w:rPr>
          <w:rFonts w:ascii="Arial" w:hAnsi="Arial" w:cs="Arial"/>
          <w:sz w:val="21"/>
          <w:szCs w:val="21"/>
        </w:rPr>
        <w:t xml:space="preserve">the </w:t>
      </w:r>
      <w:r w:rsidRPr="001C7897">
        <w:rPr>
          <w:rFonts w:ascii="Arial" w:hAnsi="Arial" w:cs="Arial"/>
          <w:sz w:val="21"/>
          <w:szCs w:val="21"/>
        </w:rPr>
        <w:t>high</w:t>
      </w:r>
      <w:r w:rsidR="00A953B4" w:rsidRPr="001C7897">
        <w:rPr>
          <w:rFonts w:ascii="Arial" w:hAnsi="Arial" w:cs="Arial"/>
          <w:sz w:val="21"/>
          <w:szCs w:val="21"/>
        </w:rPr>
        <w:t>est</w:t>
      </w:r>
      <w:r w:rsidRPr="001C7897">
        <w:rPr>
          <w:rFonts w:ascii="Arial" w:hAnsi="Arial" w:cs="Arial"/>
          <w:sz w:val="21"/>
          <w:szCs w:val="21"/>
        </w:rPr>
        <w:t xml:space="preserve"> rates in </w:t>
      </w:r>
      <w:r w:rsidR="00A953B4" w:rsidRPr="001C7897">
        <w:rPr>
          <w:rFonts w:ascii="Arial" w:hAnsi="Arial" w:cs="Arial"/>
          <w:sz w:val="21"/>
          <w:szCs w:val="21"/>
        </w:rPr>
        <w:t>2021</w:t>
      </w:r>
      <w:r w:rsidRPr="001C7897">
        <w:rPr>
          <w:rFonts w:ascii="Arial" w:hAnsi="Arial" w:cs="Arial"/>
          <w:sz w:val="21"/>
          <w:szCs w:val="21"/>
        </w:rPr>
        <w:t xml:space="preserve"> were </w:t>
      </w:r>
      <w:r w:rsidR="002545D5" w:rsidRPr="001C7897">
        <w:rPr>
          <w:rFonts w:ascii="Arial" w:hAnsi="Arial" w:cs="Arial"/>
          <w:sz w:val="21"/>
          <w:szCs w:val="21"/>
        </w:rPr>
        <w:t xml:space="preserve">Hospitals (13.4), Nursing and residential care facilities (12.9), and </w:t>
      </w:r>
      <w:r w:rsidR="00A953B4" w:rsidRPr="001C7897">
        <w:rPr>
          <w:rFonts w:ascii="Arial" w:hAnsi="Arial" w:cs="Arial"/>
          <w:sz w:val="21"/>
          <w:szCs w:val="21"/>
        </w:rPr>
        <w:t>Transit and ground p</w:t>
      </w:r>
      <w:r w:rsidR="002545D5" w:rsidRPr="001C7897">
        <w:rPr>
          <w:rFonts w:ascii="Arial" w:hAnsi="Arial" w:cs="Arial"/>
          <w:sz w:val="21"/>
          <w:szCs w:val="21"/>
        </w:rPr>
        <w:t>assenger transportation (10.4).</w:t>
      </w:r>
      <w:r w:rsidRPr="001C7897">
        <w:rPr>
          <w:rFonts w:ascii="Arial" w:hAnsi="Arial" w:cs="Arial"/>
          <w:sz w:val="21"/>
          <w:szCs w:val="21"/>
        </w:rPr>
        <w:t xml:space="preserve"> </w:t>
      </w:r>
    </w:p>
    <w:p w14:paraId="4390F1D3" w14:textId="0C256AE1" w:rsidR="00800938" w:rsidRPr="001C7897" w:rsidRDefault="00027176" w:rsidP="00800938">
      <w:pPr>
        <w:pStyle w:val="NormalWeb"/>
        <w:shd w:val="clear" w:color="auto" w:fill="FFFFFF"/>
        <w:rPr>
          <w:rFonts w:ascii="Arial" w:hAnsi="Arial" w:cs="Arial"/>
          <w:sz w:val="21"/>
          <w:szCs w:val="21"/>
        </w:rPr>
      </w:pPr>
      <w:r w:rsidRPr="001C7897">
        <w:rPr>
          <w:rFonts w:ascii="Arial" w:hAnsi="Arial" w:cs="Arial"/>
          <w:sz w:val="21"/>
          <w:szCs w:val="21"/>
        </w:rPr>
        <w:t>Of the 2,7</w:t>
      </w:r>
      <w:r w:rsidR="00800938" w:rsidRPr="001C7897">
        <w:rPr>
          <w:rFonts w:ascii="Arial" w:hAnsi="Arial" w:cs="Arial"/>
          <w:sz w:val="21"/>
          <w:szCs w:val="21"/>
        </w:rPr>
        <w:t xml:space="preserve">00 total cases reported during </w:t>
      </w:r>
      <w:r w:rsidR="00935930" w:rsidRPr="001C7897">
        <w:rPr>
          <w:rFonts w:ascii="Arial" w:hAnsi="Arial" w:cs="Arial"/>
          <w:sz w:val="21"/>
          <w:szCs w:val="21"/>
        </w:rPr>
        <w:t>2021</w:t>
      </w:r>
      <w:r w:rsidR="00800938" w:rsidRPr="001C7897">
        <w:rPr>
          <w:rFonts w:ascii="Arial" w:hAnsi="Arial" w:cs="Arial"/>
          <w:sz w:val="21"/>
          <w:szCs w:val="21"/>
        </w:rPr>
        <w:t xml:space="preserve"> by Maryland state government (</w:t>
      </w:r>
      <w:r w:rsidR="001120D4" w:rsidRPr="001C7897">
        <w:rPr>
          <w:rFonts w:ascii="Arial" w:hAnsi="Arial" w:cs="Arial"/>
          <w:sz w:val="21"/>
          <w:szCs w:val="21"/>
        </w:rPr>
        <w:t>compare</w:t>
      </w:r>
      <w:r w:rsidR="008F3070" w:rsidRPr="001C7897">
        <w:rPr>
          <w:rFonts w:ascii="Arial" w:hAnsi="Arial" w:cs="Arial"/>
          <w:sz w:val="21"/>
          <w:szCs w:val="21"/>
        </w:rPr>
        <w:t>d</w:t>
      </w:r>
      <w:r w:rsidR="001120D4" w:rsidRPr="001C7897">
        <w:rPr>
          <w:rFonts w:ascii="Arial" w:hAnsi="Arial" w:cs="Arial"/>
          <w:sz w:val="21"/>
          <w:szCs w:val="21"/>
        </w:rPr>
        <w:t xml:space="preserve"> to</w:t>
      </w:r>
      <w:r w:rsidRPr="001C7897">
        <w:rPr>
          <w:rFonts w:ascii="Arial" w:hAnsi="Arial" w:cs="Arial"/>
          <w:sz w:val="21"/>
          <w:szCs w:val="21"/>
        </w:rPr>
        <w:t xml:space="preserve"> the 2,5</w:t>
      </w:r>
      <w:r w:rsidR="00800938" w:rsidRPr="001C7897">
        <w:rPr>
          <w:rFonts w:ascii="Arial" w:hAnsi="Arial" w:cs="Arial"/>
          <w:sz w:val="21"/>
          <w:szCs w:val="21"/>
        </w:rPr>
        <w:t xml:space="preserve">00 </w:t>
      </w:r>
      <w:r w:rsidRPr="001C7897">
        <w:rPr>
          <w:rFonts w:ascii="Arial" w:hAnsi="Arial" w:cs="Arial"/>
          <w:sz w:val="21"/>
          <w:szCs w:val="21"/>
        </w:rPr>
        <w:t xml:space="preserve">cases </w:t>
      </w:r>
      <w:r w:rsidR="00800938" w:rsidRPr="001C7897">
        <w:rPr>
          <w:rFonts w:ascii="Arial" w:hAnsi="Arial" w:cs="Arial"/>
          <w:sz w:val="21"/>
          <w:szCs w:val="21"/>
        </w:rPr>
        <w:t xml:space="preserve">reported the </w:t>
      </w:r>
      <w:r w:rsidR="00BF247A" w:rsidRPr="001C7897">
        <w:rPr>
          <w:rFonts w:ascii="Arial" w:hAnsi="Arial" w:cs="Arial"/>
          <w:sz w:val="21"/>
          <w:szCs w:val="21"/>
        </w:rPr>
        <w:t>previous year) approximately 1,50</w:t>
      </w:r>
      <w:r w:rsidR="00800938" w:rsidRPr="001C7897">
        <w:rPr>
          <w:rFonts w:ascii="Arial" w:hAnsi="Arial" w:cs="Arial"/>
          <w:sz w:val="21"/>
          <w:szCs w:val="21"/>
        </w:rPr>
        <w:t>0 cases were severe enough to require the employee to miss at least one day from work for recuperation. Maryland’s local government sector reported 9</w:t>
      </w:r>
      <w:r w:rsidR="00045D76" w:rsidRPr="001C7897">
        <w:rPr>
          <w:rFonts w:ascii="Arial" w:hAnsi="Arial" w:cs="Arial"/>
          <w:sz w:val="21"/>
          <w:szCs w:val="21"/>
        </w:rPr>
        <w:t>,8</w:t>
      </w:r>
      <w:r w:rsidR="00800938" w:rsidRPr="001C7897">
        <w:rPr>
          <w:rFonts w:ascii="Arial" w:hAnsi="Arial" w:cs="Arial"/>
          <w:sz w:val="21"/>
          <w:szCs w:val="21"/>
        </w:rPr>
        <w:t>00 new cases of occupational injury and illness in 20</w:t>
      </w:r>
      <w:r w:rsidR="00935930" w:rsidRPr="001C7897">
        <w:rPr>
          <w:rFonts w:ascii="Arial" w:hAnsi="Arial" w:cs="Arial"/>
          <w:sz w:val="21"/>
          <w:szCs w:val="21"/>
        </w:rPr>
        <w:t>2</w:t>
      </w:r>
      <w:r w:rsidR="00800938" w:rsidRPr="001C7897">
        <w:rPr>
          <w:rFonts w:ascii="Arial" w:hAnsi="Arial" w:cs="Arial"/>
          <w:sz w:val="21"/>
          <w:szCs w:val="21"/>
        </w:rPr>
        <w:t xml:space="preserve">1. Approximately </w:t>
      </w:r>
      <w:r w:rsidR="00045D76" w:rsidRPr="001C7897">
        <w:rPr>
          <w:rFonts w:ascii="Arial" w:hAnsi="Arial" w:cs="Arial"/>
          <w:sz w:val="21"/>
          <w:szCs w:val="21"/>
        </w:rPr>
        <w:t>3,600</w:t>
      </w:r>
      <w:r w:rsidR="00800938" w:rsidRPr="001C7897">
        <w:rPr>
          <w:rFonts w:ascii="Arial" w:hAnsi="Arial" w:cs="Arial"/>
          <w:sz w:val="21"/>
          <w:szCs w:val="21"/>
        </w:rPr>
        <w:t xml:space="preserve"> cases resulted in days away from work. </w:t>
      </w:r>
    </w:p>
    <w:p w14:paraId="2A99F84E" w14:textId="77777777" w:rsidR="00800938" w:rsidRDefault="00800938" w:rsidP="00800938">
      <w:pPr>
        <w:pStyle w:val="NormalWeb"/>
        <w:shd w:val="clear" w:color="auto" w:fill="FFFFFF"/>
        <w:rPr>
          <w:rFonts w:ascii="Arial" w:hAnsi="Arial" w:cs="Arial"/>
          <w:color w:val="333333"/>
          <w:sz w:val="21"/>
          <w:szCs w:val="21"/>
        </w:rPr>
      </w:pPr>
      <w:r w:rsidRPr="001C7897">
        <w:rPr>
          <w:rFonts w:ascii="Arial" w:hAnsi="Arial" w:cs="Arial"/>
          <w:sz w:val="21"/>
          <w:szCs w:val="21"/>
        </w:rPr>
        <w:t xml:space="preserve">Maryland State and local government municipalities and agencies employed some </w:t>
      </w:r>
      <w:r w:rsidR="003F1F3F" w:rsidRPr="001C7897">
        <w:rPr>
          <w:rFonts w:ascii="Arial" w:hAnsi="Arial" w:cs="Arial"/>
          <w:sz w:val="21"/>
          <w:szCs w:val="21"/>
        </w:rPr>
        <w:t xml:space="preserve">329,244 </w:t>
      </w:r>
      <w:r w:rsidRPr="001C7897">
        <w:rPr>
          <w:rFonts w:ascii="Arial" w:hAnsi="Arial" w:cs="Arial"/>
          <w:sz w:val="21"/>
          <w:szCs w:val="21"/>
        </w:rPr>
        <w:t xml:space="preserve">workers during </w:t>
      </w:r>
      <w:r w:rsidR="008812B8" w:rsidRPr="001C7897">
        <w:rPr>
          <w:rFonts w:ascii="Arial" w:hAnsi="Arial" w:cs="Arial"/>
          <w:sz w:val="21"/>
          <w:szCs w:val="21"/>
        </w:rPr>
        <w:t>2021</w:t>
      </w:r>
      <w:r w:rsidRPr="001C7897">
        <w:rPr>
          <w:rFonts w:ascii="Arial" w:hAnsi="Arial" w:cs="Arial"/>
          <w:sz w:val="21"/>
          <w:szCs w:val="21"/>
        </w:rPr>
        <w:t xml:space="preserve">, based on data provided by the Maryland Department of Labor, Licensing and Regulations’ Office of Workforce Information and Performance, Quarterly Census of Employment </w:t>
      </w:r>
      <w:r>
        <w:rPr>
          <w:rFonts w:ascii="Arial" w:hAnsi="Arial" w:cs="Arial"/>
          <w:color w:val="333333"/>
          <w:sz w:val="21"/>
          <w:szCs w:val="21"/>
        </w:rPr>
        <w:t>and Wages program.</w:t>
      </w:r>
    </w:p>
    <w:p w14:paraId="6FD79B34" w14:textId="77777777" w:rsidR="00F86EA8" w:rsidRDefault="00F86EA8" w:rsidP="00800938">
      <w:pPr>
        <w:pStyle w:val="NormalWeb"/>
        <w:shd w:val="clear" w:color="auto" w:fill="FFFFFF"/>
        <w:rPr>
          <w:rFonts w:ascii="Arial" w:hAnsi="Arial" w:cs="Arial"/>
          <w:color w:val="333333"/>
          <w:sz w:val="21"/>
          <w:szCs w:val="21"/>
        </w:rPr>
      </w:pPr>
      <w:r>
        <w:rPr>
          <w:noProof/>
        </w:rPr>
        <w:drawing>
          <wp:inline distT="0" distB="0" distL="0" distR="0" wp14:anchorId="6A1A0231" wp14:editId="02D30DE3">
            <wp:extent cx="5943600" cy="3441065"/>
            <wp:effectExtent l="0" t="0" r="0"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41065"/>
                    </a:xfrm>
                    <a:prstGeom prst="rect">
                      <a:avLst/>
                    </a:prstGeom>
                    <a:noFill/>
                    <a:ln>
                      <a:noFill/>
                    </a:ln>
                  </pic:spPr>
                </pic:pic>
              </a:graphicData>
            </a:graphic>
          </wp:inline>
        </w:drawing>
      </w:r>
    </w:p>
    <w:p w14:paraId="3D6A160C" w14:textId="77777777" w:rsidR="00F86EA8" w:rsidRPr="00F86EA8" w:rsidRDefault="00F86EA8" w:rsidP="00F86EA8">
      <w:pPr>
        <w:pStyle w:val="NormalWeb"/>
        <w:shd w:val="clear" w:color="auto" w:fill="FFFFFF"/>
        <w:rPr>
          <w:rFonts w:ascii="Arial" w:hAnsi="Arial" w:cs="Arial"/>
          <w:color w:val="333333"/>
          <w:sz w:val="18"/>
          <w:szCs w:val="18"/>
        </w:rPr>
      </w:pPr>
      <w:r w:rsidRPr="00F86EA8">
        <w:rPr>
          <w:rFonts w:ascii="Arial" w:hAnsi="Arial" w:cs="Arial"/>
          <w:color w:val="333333"/>
          <w:sz w:val="18"/>
          <w:szCs w:val="18"/>
        </w:rPr>
        <w:t xml:space="preserve">*2006 </w:t>
      </w:r>
      <w:r w:rsidR="000B7554">
        <w:rPr>
          <w:rFonts w:ascii="Arial" w:hAnsi="Arial" w:cs="Arial"/>
          <w:color w:val="333333"/>
          <w:sz w:val="18"/>
          <w:szCs w:val="18"/>
        </w:rPr>
        <w:t xml:space="preserve">Maryland Public Sector </w:t>
      </w:r>
      <w:r w:rsidRPr="00F86EA8">
        <w:rPr>
          <w:rFonts w:ascii="Arial" w:hAnsi="Arial" w:cs="Arial"/>
          <w:color w:val="333333"/>
          <w:sz w:val="18"/>
          <w:szCs w:val="18"/>
        </w:rPr>
        <w:t>data did not meet publication criteria</w:t>
      </w:r>
    </w:p>
    <w:p w14:paraId="29DCA373" w14:textId="77777777" w:rsidR="00F86EA8" w:rsidRDefault="00F86EA8" w:rsidP="00800938">
      <w:pPr>
        <w:pStyle w:val="NormalWeb"/>
        <w:shd w:val="clear" w:color="auto" w:fill="FFFFFF"/>
        <w:rPr>
          <w:rFonts w:ascii="Arial" w:hAnsi="Arial" w:cs="Arial"/>
          <w:color w:val="333333"/>
          <w:sz w:val="21"/>
          <w:szCs w:val="21"/>
        </w:rPr>
      </w:pPr>
    </w:p>
    <w:p w14:paraId="10774B7F" w14:textId="77777777" w:rsidR="00F86EA8" w:rsidRDefault="00F86EA8" w:rsidP="00800938">
      <w:pPr>
        <w:pStyle w:val="NormalWeb"/>
        <w:shd w:val="clear" w:color="auto" w:fill="FFFFFF"/>
        <w:rPr>
          <w:rFonts w:ascii="Arial" w:hAnsi="Arial" w:cs="Arial"/>
          <w:color w:val="333333"/>
          <w:sz w:val="21"/>
          <w:szCs w:val="21"/>
        </w:rPr>
      </w:pPr>
    </w:p>
    <w:p w14:paraId="4B97FD03" w14:textId="77777777" w:rsidR="00F86EA8" w:rsidRDefault="00F86EA8" w:rsidP="00800938">
      <w:pPr>
        <w:pStyle w:val="NormalWeb"/>
        <w:shd w:val="clear" w:color="auto" w:fill="FFFFFF"/>
        <w:rPr>
          <w:rFonts w:ascii="Arial" w:hAnsi="Arial" w:cs="Arial"/>
          <w:color w:val="333333"/>
          <w:sz w:val="21"/>
          <w:szCs w:val="21"/>
        </w:rPr>
      </w:pPr>
    </w:p>
    <w:tbl>
      <w:tblPr>
        <w:tblW w:w="11780" w:type="dxa"/>
        <w:tblInd w:w="-1220" w:type="dxa"/>
        <w:tblLook w:val="04A0" w:firstRow="1" w:lastRow="0" w:firstColumn="1" w:lastColumn="0" w:noHBand="0" w:noVBand="1"/>
      </w:tblPr>
      <w:tblGrid>
        <w:gridCol w:w="4160"/>
        <w:gridCol w:w="2540"/>
        <w:gridCol w:w="2540"/>
        <w:gridCol w:w="2540"/>
      </w:tblGrid>
      <w:tr w:rsidR="00F86EA8" w:rsidRPr="00F86EA8" w14:paraId="3598A15C" w14:textId="77777777" w:rsidTr="00F86EA8">
        <w:trPr>
          <w:trHeight w:val="1999"/>
        </w:trPr>
        <w:tc>
          <w:tcPr>
            <w:tcW w:w="41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D22692" w14:textId="77777777" w:rsidR="00F86EA8" w:rsidRPr="00F86EA8" w:rsidRDefault="00F86EA8" w:rsidP="00F86EA8">
            <w:pPr>
              <w:spacing w:after="0" w:line="240" w:lineRule="auto"/>
              <w:jc w:val="center"/>
              <w:rPr>
                <w:rFonts w:ascii="Tahoma" w:eastAsia="Times New Roman" w:hAnsi="Tahoma" w:cs="Tahoma"/>
                <w:color w:val="000000"/>
                <w:sz w:val="16"/>
                <w:szCs w:val="16"/>
              </w:rPr>
            </w:pPr>
            <w:r w:rsidRPr="00F86EA8">
              <w:rPr>
                <w:rFonts w:ascii="Tahoma" w:eastAsia="Times New Roman" w:hAnsi="Tahoma" w:cs="Tahoma"/>
                <w:color w:val="000000"/>
                <w:sz w:val="16"/>
                <w:szCs w:val="16"/>
              </w:rPr>
              <w:lastRenderedPageBreak/>
              <w:t>Year</w:t>
            </w:r>
          </w:p>
        </w:tc>
        <w:tc>
          <w:tcPr>
            <w:tcW w:w="2540" w:type="dxa"/>
            <w:tcBorders>
              <w:top w:val="single" w:sz="4" w:space="0" w:color="000000"/>
              <w:left w:val="nil"/>
              <w:bottom w:val="single" w:sz="4" w:space="0" w:color="000000"/>
              <w:right w:val="single" w:sz="4" w:space="0" w:color="000000"/>
            </w:tcBorders>
            <w:shd w:val="clear" w:color="000000" w:fill="FFFFFF"/>
            <w:vAlign w:val="center"/>
            <w:hideMark/>
          </w:tcPr>
          <w:p w14:paraId="391E77A5" w14:textId="77777777" w:rsidR="00F86EA8" w:rsidRPr="00F86EA8" w:rsidRDefault="00F86EA8" w:rsidP="00F86EA8">
            <w:pPr>
              <w:spacing w:after="0" w:line="240" w:lineRule="auto"/>
              <w:jc w:val="center"/>
              <w:rPr>
                <w:rFonts w:ascii="Tahoma" w:eastAsia="Times New Roman" w:hAnsi="Tahoma" w:cs="Tahoma"/>
                <w:color w:val="000000"/>
                <w:sz w:val="16"/>
                <w:szCs w:val="16"/>
              </w:rPr>
            </w:pPr>
            <w:r w:rsidRPr="00F86EA8">
              <w:rPr>
                <w:rFonts w:ascii="Tahoma" w:eastAsia="Times New Roman" w:hAnsi="Tahoma" w:cs="Tahoma"/>
                <w:color w:val="000000"/>
                <w:sz w:val="16"/>
                <w:szCs w:val="16"/>
              </w:rPr>
              <w:t>All United States Private Sector</w:t>
            </w:r>
          </w:p>
        </w:tc>
        <w:tc>
          <w:tcPr>
            <w:tcW w:w="2540" w:type="dxa"/>
            <w:tcBorders>
              <w:top w:val="single" w:sz="4" w:space="0" w:color="000000"/>
              <w:left w:val="nil"/>
              <w:bottom w:val="single" w:sz="4" w:space="0" w:color="000000"/>
              <w:right w:val="single" w:sz="4" w:space="0" w:color="000000"/>
            </w:tcBorders>
            <w:shd w:val="clear" w:color="000000" w:fill="FFFFFF"/>
            <w:vAlign w:val="center"/>
            <w:hideMark/>
          </w:tcPr>
          <w:p w14:paraId="60E0CF27" w14:textId="77777777" w:rsidR="00F86EA8" w:rsidRPr="00F86EA8" w:rsidRDefault="00F86EA8" w:rsidP="00F86EA8">
            <w:pPr>
              <w:spacing w:after="0" w:line="240" w:lineRule="auto"/>
              <w:jc w:val="center"/>
              <w:rPr>
                <w:rFonts w:ascii="Tahoma" w:eastAsia="Times New Roman" w:hAnsi="Tahoma" w:cs="Tahoma"/>
                <w:color w:val="000000"/>
                <w:sz w:val="16"/>
                <w:szCs w:val="16"/>
              </w:rPr>
            </w:pPr>
            <w:r w:rsidRPr="00F86EA8">
              <w:rPr>
                <w:rFonts w:ascii="Tahoma" w:eastAsia="Times New Roman" w:hAnsi="Tahoma" w:cs="Tahoma"/>
                <w:color w:val="000000"/>
                <w:sz w:val="16"/>
                <w:szCs w:val="16"/>
              </w:rPr>
              <w:t>Maryland Private Sector</w:t>
            </w:r>
          </w:p>
        </w:tc>
        <w:tc>
          <w:tcPr>
            <w:tcW w:w="2540" w:type="dxa"/>
            <w:tcBorders>
              <w:top w:val="single" w:sz="4" w:space="0" w:color="000000"/>
              <w:left w:val="nil"/>
              <w:bottom w:val="single" w:sz="4" w:space="0" w:color="000000"/>
              <w:right w:val="single" w:sz="4" w:space="0" w:color="000000"/>
            </w:tcBorders>
            <w:shd w:val="clear" w:color="000000" w:fill="FFFFFF"/>
            <w:vAlign w:val="center"/>
            <w:hideMark/>
          </w:tcPr>
          <w:p w14:paraId="2B77FFAF" w14:textId="77777777" w:rsidR="00F86EA8" w:rsidRPr="00F86EA8" w:rsidRDefault="00F86EA8" w:rsidP="00F86EA8">
            <w:pPr>
              <w:spacing w:after="0" w:line="240" w:lineRule="auto"/>
              <w:jc w:val="center"/>
              <w:rPr>
                <w:rFonts w:ascii="Tahoma" w:eastAsia="Times New Roman" w:hAnsi="Tahoma" w:cs="Tahoma"/>
                <w:color w:val="000000"/>
                <w:sz w:val="16"/>
                <w:szCs w:val="16"/>
              </w:rPr>
            </w:pPr>
            <w:r w:rsidRPr="00F86EA8">
              <w:rPr>
                <w:rFonts w:ascii="Tahoma" w:eastAsia="Times New Roman" w:hAnsi="Tahoma" w:cs="Tahoma"/>
                <w:color w:val="000000"/>
                <w:sz w:val="16"/>
                <w:szCs w:val="16"/>
              </w:rPr>
              <w:t>Maryland Public Sector</w:t>
            </w:r>
          </w:p>
        </w:tc>
      </w:tr>
      <w:tr w:rsidR="00F86EA8" w:rsidRPr="00F86EA8" w14:paraId="0F7F3C6E"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3B731685"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2003</w:t>
            </w:r>
          </w:p>
        </w:tc>
        <w:tc>
          <w:tcPr>
            <w:tcW w:w="2540" w:type="dxa"/>
            <w:tcBorders>
              <w:top w:val="nil"/>
              <w:left w:val="nil"/>
              <w:bottom w:val="single" w:sz="4" w:space="0" w:color="000000"/>
              <w:right w:val="single" w:sz="4" w:space="0" w:color="000000"/>
            </w:tcBorders>
            <w:shd w:val="clear" w:color="000000" w:fill="FFFFFF"/>
            <w:vAlign w:val="center"/>
            <w:hideMark/>
          </w:tcPr>
          <w:p w14:paraId="4933CCD3"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5.0</w:t>
            </w:r>
          </w:p>
        </w:tc>
        <w:tc>
          <w:tcPr>
            <w:tcW w:w="2540" w:type="dxa"/>
            <w:tcBorders>
              <w:top w:val="nil"/>
              <w:left w:val="nil"/>
              <w:bottom w:val="single" w:sz="4" w:space="0" w:color="000000"/>
              <w:right w:val="single" w:sz="4" w:space="0" w:color="000000"/>
            </w:tcBorders>
            <w:shd w:val="clear" w:color="000000" w:fill="FFFFFF"/>
            <w:vAlign w:val="center"/>
            <w:hideMark/>
          </w:tcPr>
          <w:p w14:paraId="634592B1"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4.1</w:t>
            </w:r>
          </w:p>
        </w:tc>
        <w:tc>
          <w:tcPr>
            <w:tcW w:w="2540" w:type="dxa"/>
            <w:tcBorders>
              <w:top w:val="nil"/>
              <w:left w:val="nil"/>
              <w:bottom w:val="single" w:sz="4" w:space="0" w:color="000000"/>
              <w:right w:val="single" w:sz="4" w:space="0" w:color="000000"/>
            </w:tcBorders>
            <w:shd w:val="clear" w:color="000000" w:fill="FFFFFF"/>
            <w:vAlign w:val="center"/>
            <w:hideMark/>
          </w:tcPr>
          <w:p w14:paraId="7F197A8C"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6.9</w:t>
            </w:r>
          </w:p>
        </w:tc>
      </w:tr>
      <w:tr w:rsidR="00F86EA8" w:rsidRPr="00F86EA8" w14:paraId="61A0DF1B"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1F3E0D46"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2004</w:t>
            </w:r>
          </w:p>
        </w:tc>
        <w:tc>
          <w:tcPr>
            <w:tcW w:w="2540" w:type="dxa"/>
            <w:tcBorders>
              <w:top w:val="nil"/>
              <w:left w:val="nil"/>
              <w:bottom w:val="single" w:sz="4" w:space="0" w:color="000000"/>
              <w:right w:val="single" w:sz="4" w:space="0" w:color="000000"/>
            </w:tcBorders>
            <w:shd w:val="clear" w:color="000000" w:fill="FFFFFF"/>
            <w:vAlign w:val="center"/>
            <w:hideMark/>
          </w:tcPr>
          <w:p w14:paraId="2A8FEA95"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4.8</w:t>
            </w:r>
          </w:p>
        </w:tc>
        <w:tc>
          <w:tcPr>
            <w:tcW w:w="2540" w:type="dxa"/>
            <w:tcBorders>
              <w:top w:val="nil"/>
              <w:left w:val="nil"/>
              <w:bottom w:val="single" w:sz="4" w:space="0" w:color="000000"/>
              <w:right w:val="single" w:sz="4" w:space="0" w:color="000000"/>
            </w:tcBorders>
            <w:shd w:val="clear" w:color="000000" w:fill="FFFFFF"/>
            <w:vAlign w:val="center"/>
            <w:hideMark/>
          </w:tcPr>
          <w:p w14:paraId="6E2719C9"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4.2</w:t>
            </w:r>
          </w:p>
        </w:tc>
        <w:tc>
          <w:tcPr>
            <w:tcW w:w="2540" w:type="dxa"/>
            <w:tcBorders>
              <w:top w:val="nil"/>
              <w:left w:val="nil"/>
              <w:bottom w:val="single" w:sz="4" w:space="0" w:color="000000"/>
              <w:right w:val="single" w:sz="4" w:space="0" w:color="000000"/>
            </w:tcBorders>
            <w:shd w:val="clear" w:color="000000" w:fill="FFFFFF"/>
            <w:vAlign w:val="center"/>
            <w:hideMark/>
          </w:tcPr>
          <w:p w14:paraId="6D15350B"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6.0</w:t>
            </w:r>
          </w:p>
        </w:tc>
      </w:tr>
      <w:tr w:rsidR="00F86EA8" w:rsidRPr="00F86EA8" w14:paraId="58CEE49F"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739BEF3D"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2005</w:t>
            </w:r>
          </w:p>
        </w:tc>
        <w:tc>
          <w:tcPr>
            <w:tcW w:w="2540" w:type="dxa"/>
            <w:tcBorders>
              <w:top w:val="nil"/>
              <w:left w:val="nil"/>
              <w:bottom w:val="single" w:sz="4" w:space="0" w:color="000000"/>
              <w:right w:val="single" w:sz="4" w:space="0" w:color="000000"/>
            </w:tcBorders>
            <w:shd w:val="clear" w:color="000000" w:fill="FFFFFF"/>
            <w:vAlign w:val="center"/>
            <w:hideMark/>
          </w:tcPr>
          <w:p w14:paraId="4035EE99"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4.6</w:t>
            </w:r>
          </w:p>
        </w:tc>
        <w:tc>
          <w:tcPr>
            <w:tcW w:w="2540" w:type="dxa"/>
            <w:tcBorders>
              <w:top w:val="nil"/>
              <w:left w:val="nil"/>
              <w:bottom w:val="single" w:sz="4" w:space="0" w:color="000000"/>
              <w:right w:val="single" w:sz="4" w:space="0" w:color="000000"/>
            </w:tcBorders>
            <w:shd w:val="clear" w:color="000000" w:fill="FFFFFF"/>
            <w:vAlign w:val="center"/>
            <w:hideMark/>
          </w:tcPr>
          <w:p w14:paraId="700F2BBC"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4.2</w:t>
            </w:r>
          </w:p>
        </w:tc>
        <w:tc>
          <w:tcPr>
            <w:tcW w:w="2540" w:type="dxa"/>
            <w:tcBorders>
              <w:top w:val="nil"/>
              <w:left w:val="nil"/>
              <w:bottom w:val="single" w:sz="4" w:space="0" w:color="000000"/>
              <w:right w:val="single" w:sz="4" w:space="0" w:color="000000"/>
            </w:tcBorders>
            <w:shd w:val="clear" w:color="000000" w:fill="FFFFFF"/>
            <w:vAlign w:val="center"/>
            <w:hideMark/>
          </w:tcPr>
          <w:p w14:paraId="110DC86E"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6.5</w:t>
            </w:r>
          </w:p>
        </w:tc>
      </w:tr>
      <w:tr w:rsidR="00F86EA8" w:rsidRPr="00F86EA8" w14:paraId="1F7DBE3B"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14259E9A"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2006</w:t>
            </w:r>
          </w:p>
        </w:tc>
        <w:tc>
          <w:tcPr>
            <w:tcW w:w="2540" w:type="dxa"/>
            <w:tcBorders>
              <w:top w:val="nil"/>
              <w:left w:val="nil"/>
              <w:bottom w:val="single" w:sz="4" w:space="0" w:color="000000"/>
              <w:right w:val="single" w:sz="4" w:space="0" w:color="000000"/>
            </w:tcBorders>
            <w:shd w:val="clear" w:color="000000" w:fill="FFFFFF"/>
            <w:vAlign w:val="center"/>
            <w:hideMark/>
          </w:tcPr>
          <w:p w14:paraId="02423092"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4.4</w:t>
            </w:r>
          </w:p>
        </w:tc>
        <w:tc>
          <w:tcPr>
            <w:tcW w:w="2540" w:type="dxa"/>
            <w:tcBorders>
              <w:top w:val="nil"/>
              <w:left w:val="nil"/>
              <w:bottom w:val="single" w:sz="4" w:space="0" w:color="000000"/>
              <w:right w:val="single" w:sz="4" w:space="0" w:color="000000"/>
            </w:tcBorders>
            <w:shd w:val="clear" w:color="000000" w:fill="FFFFFF"/>
            <w:vAlign w:val="center"/>
            <w:hideMark/>
          </w:tcPr>
          <w:p w14:paraId="404E147A"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3.8</w:t>
            </w:r>
          </w:p>
        </w:tc>
        <w:tc>
          <w:tcPr>
            <w:tcW w:w="2540" w:type="dxa"/>
            <w:tcBorders>
              <w:top w:val="nil"/>
              <w:left w:val="nil"/>
              <w:bottom w:val="single" w:sz="4" w:space="0" w:color="000000"/>
              <w:right w:val="single" w:sz="4" w:space="0" w:color="000000"/>
            </w:tcBorders>
            <w:shd w:val="clear" w:color="000000" w:fill="FFFFFF"/>
            <w:vAlign w:val="center"/>
            <w:hideMark/>
          </w:tcPr>
          <w:p w14:paraId="0E745216"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w:t>
            </w:r>
          </w:p>
        </w:tc>
      </w:tr>
      <w:tr w:rsidR="00F86EA8" w:rsidRPr="00F86EA8" w14:paraId="606E24F2"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35F7A5AA"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2007</w:t>
            </w:r>
          </w:p>
        </w:tc>
        <w:tc>
          <w:tcPr>
            <w:tcW w:w="2540" w:type="dxa"/>
            <w:tcBorders>
              <w:top w:val="nil"/>
              <w:left w:val="nil"/>
              <w:bottom w:val="single" w:sz="4" w:space="0" w:color="000000"/>
              <w:right w:val="single" w:sz="4" w:space="0" w:color="000000"/>
            </w:tcBorders>
            <w:shd w:val="clear" w:color="000000" w:fill="FFFFFF"/>
            <w:vAlign w:val="center"/>
            <w:hideMark/>
          </w:tcPr>
          <w:p w14:paraId="789B487D"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4.2</w:t>
            </w:r>
          </w:p>
        </w:tc>
        <w:tc>
          <w:tcPr>
            <w:tcW w:w="2540" w:type="dxa"/>
            <w:tcBorders>
              <w:top w:val="nil"/>
              <w:left w:val="nil"/>
              <w:bottom w:val="single" w:sz="4" w:space="0" w:color="000000"/>
              <w:right w:val="single" w:sz="4" w:space="0" w:color="000000"/>
            </w:tcBorders>
            <w:shd w:val="clear" w:color="000000" w:fill="FFFFFF"/>
            <w:vAlign w:val="center"/>
            <w:hideMark/>
          </w:tcPr>
          <w:p w14:paraId="7838EC87"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3.7</w:t>
            </w:r>
          </w:p>
        </w:tc>
        <w:tc>
          <w:tcPr>
            <w:tcW w:w="2540" w:type="dxa"/>
            <w:tcBorders>
              <w:top w:val="nil"/>
              <w:left w:val="nil"/>
              <w:bottom w:val="single" w:sz="4" w:space="0" w:color="000000"/>
              <w:right w:val="single" w:sz="4" w:space="0" w:color="000000"/>
            </w:tcBorders>
            <w:shd w:val="clear" w:color="000000" w:fill="FFFFFF"/>
            <w:vAlign w:val="center"/>
            <w:hideMark/>
          </w:tcPr>
          <w:p w14:paraId="3AD6E078"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7.1</w:t>
            </w:r>
          </w:p>
        </w:tc>
      </w:tr>
      <w:tr w:rsidR="00F86EA8" w:rsidRPr="00F86EA8" w14:paraId="4977DB3D"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7C8C5172"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2008</w:t>
            </w:r>
          </w:p>
        </w:tc>
        <w:tc>
          <w:tcPr>
            <w:tcW w:w="2540" w:type="dxa"/>
            <w:tcBorders>
              <w:top w:val="nil"/>
              <w:left w:val="nil"/>
              <w:bottom w:val="single" w:sz="4" w:space="0" w:color="000000"/>
              <w:right w:val="single" w:sz="4" w:space="0" w:color="000000"/>
            </w:tcBorders>
            <w:shd w:val="clear" w:color="000000" w:fill="FFFFFF"/>
            <w:vAlign w:val="center"/>
            <w:hideMark/>
          </w:tcPr>
          <w:p w14:paraId="2E1D7415"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3.9</w:t>
            </w:r>
          </w:p>
        </w:tc>
        <w:tc>
          <w:tcPr>
            <w:tcW w:w="2540" w:type="dxa"/>
            <w:tcBorders>
              <w:top w:val="nil"/>
              <w:left w:val="nil"/>
              <w:bottom w:val="single" w:sz="4" w:space="0" w:color="000000"/>
              <w:right w:val="single" w:sz="4" w:space="0" w:color="000000"/>
            </w:tcBorders>
            <w:shd w:val="clear" w:color="000000" w:fill="FFFFFF"/>
            <w:vAlign w:val="center"/>
            <w:hideMark/>
          </w:tcPr>
          <w:p w14:paraId="3AFB123C"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3.3</w:t>
            </w:r>
          </w:p>
        </w:tc>
        <w:tc>
          <w:tcPr>
            <w:tcW w:w="2540" w:type="dxa"/>
            <w:tcBorders>
              <w:top w:val="nil"/>
              <w:left w:val="nil"/>
              <w:bottom w:val="single" w:sz="4" w:space="0" w:color="000000"/>
              <w:right w:val="single" w:sz="4" w:space="0" w:color="000000"/>
            </w:tcBorders>
            <w:shd w:val="clear" w:color="000000" w:fill="FFFFFF"/>
            <w:vAlign w:val="center"/>
            <w:hideMark/>
          </w:tcPr>
          <w:p w14:paraId="4CF76203"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6.6</w:t>
            </w:r>
          </w:p>
        </w:tc>
      </w:tr>
      <w:tr w:rsidR="00F86EA8" w:rsidRPr="00F86EA8" w14:paraId="3466C203"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16229E4F"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2009</w:t>
            </w:r>
          </w:p>
        </w:tc>
        <w:tc>
          <w:tcPr>
            <w:tcW w:w="2540" w:type="dxa"/>
            <w:tcBorders>
              <w:top w:val="nil"/>
              <w:left w:val="nil"/>
              <w:bottom w:val="single" w:sz="4" w:space="0" w:color="000000"/>
              <w:right w:val="single" w:sz="4" w:space="0" w:color="000000"/>
            </w:tcBorders>
            <w:shd w:val="clear" w:color="000000" w:fill="FFFFFF"/>
            <w:vAlign w:val="center"/>
            <w:hideMark/>
          </w:tcPr>
          <w:p w14:paraId="49200CCC"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3.6</w:t>
            </w:r>
          </w:p>
        </w:tc>
        <w:tc>
          <w:tcPr>
            <w:tcW w:w="2540" w:type="dxa"/>
            <w:tcBorders>
              <w:top w:val="nil"/>
              <w:left w:val="nil"/>
              <w:bottom w:val="single" w:sz="4" w:space="0" w:color="000000"/>
              <w:right w:val="single" w:sz="4" w:space="0" w:color="000000"/>
            </w:tcBorders>
            <w:shd w:val="clear" w:color="000000" w:fill="FFFFFF"/>
            <w:vAlign w:val="center"/>
            <w:hideMark/>
          </w:tcPr>
          <w:p w14:paraId="6D97CE9D"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3.3</w:t>
            </w:r>
          </w:p>
        </w:tc>
        <w:tc>
          <w:tcPr>
            <w:tcW w:w="2540" w:type="dxa"/>
            <w:tcBorders>
              <w:top w:val="nil"/>
              <w:left w:val="nil"/>
              <w:bottom w:val="single" w:sz="4" w:space="0" w:color="000000"/>
              <w:right w:val="single" w:sz="4" w:space="0" w:color="000000"/>
            </w:tcBorders>
            <w:shd w:val="clear" w:color="000000" w:fill="FFFFFF"/>
            <w:vAlign w:val="center"/>
            <w:hideMark/>
          </w:tcPr>
          <w:p w14:paraId="73DE5B70"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5.9</w:t>
            </w:r>
          </w:p>
        </w:tc>
      </w:tr>
      <w:tr w:rsidR="00F86EA8" w:rsidRPr="00F86EA8" w14:paraId="7A11C9C5"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652DBD56"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2010</w:t>
            </w:r>
          </w:p>
        </w:tc>
        <w:tc>
          <w:tcPr>
            <w:tcW w:w="2540" w:type="dxa"/>
            <w:tcBorders>
              <w:top w:val="nil"/>
              <w:left w:val="nil"/>
              <w:bottom w:val="single" w:sz="4" w:space="0" w:color="000000"/>
              <w:right w:val="single" w:sz="4" w:space="0" w:color="000000"/>
            </w:tcBorders>
            <w:shd w:val="clear" w:color="000000" w:fill="FFFFFF"/>
            <w:vAlign w:val="center"/>
            <w:hideMark/>
          </w:tcPr>
          <w:p w14:paraId="26C57AB0"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3.5</w:t>
            </w:r>
          </w:p>
        </w:tc>
        <w:tc>
          <w:tcPr>
            <w:tcW w:w="2540" w:type="dxa"/>
            <w:tcBorders>
              <w:top w:val="nil"/>
              <w:left w:val="nil"/>
              <w:bottom w:val="single" w:sz="4" w:space="0" w:color="000000"/>
              <w:right w:val="single" w:sz="4" w:space="0" w:color="000000"/>
            </w:tcBorders>
            <w:shd w:val="clear" w:color="000000" w:fill="FFFFFF"/>
            <w:vAlign w:val="center"/>
            <w:hideMark/>
          </w:tcPr>
          <w:p w14:paraId="010081BE"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3.6</w:t>
            </w:r>
          </w:p>
        </w:tc>
        <w:tc>
          <w:tcPr>
            <w:tcW w:w="2540" w:type="dxa"/>
            <w:tcBorders>
              <w:top w:val="nil"/>
              <w:left w:val="nil"/>
              <w:bottom w:val="single" w:sz="4" w:space="0" w:color="000000"/>
              <w:right w:val="single" w:sz="4" w:space="0" w:color="000000"/>
            </w:tcBorders>
            <w:shd w:val="clear" w:color="000000" w:fill="FFFFFF"/>
            <w:vAlign w:val="center"/>
            <w:hideMark/>
          </w:tcPr>
          <w:p w14:paraId="0B7DF44C"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5.8</w:t>
            </w:r>
          </w:p>
        </w:tc>
      </w:tr>
      <w:tr w:rsidR="00F86EA8" w:rsidRPr="00F86EA8" w14:paraId="4D80D55A"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17767ED2"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2011</w:t>
            </w:r>
          </w:p>
        </w:tc>
        <w:tc>
          <w:tcPr>
            <w:tcW w:w="2540" w:type="dxa"/>
            <w:tcBorders>
              <w:top w:val="nil"/>
              <w:left w:val="nil"/>
              <w:bottom w:val="single" w:sz="4" w:space="0" w:color="000000"/>
              <w:right w:val="single" w:sz="4" w:space="0" w:color="000000"/>
            </w:tcBorders>
            <w:shd w:val="clear" w:color="000000" w:fill="FFFFFF"/>
            <w:vAlign w:val="center"/>
            <w:hideMark/>
          </w:tcPr>
          <w:p w14:paraId="37EBFDE7"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3.4</w:t>
            </w:r>
          </w:p>
        </w:tc>
        <w:tc>
          <w:tcPr>
            <w:tcW w:w="2540" w:type="dxa"/>
            <w:tcBorders>
              <w:top w:val="nil"/>
              <w:left w:val="nil"/>
              <w:bottom w:val="single" w:sz="4" w:space="0" w:color="000000"/>
              <w:right w:val="single" w:sz="4" w:space="0" w:color="000000"/>
            </w:tcBorders>
            <w:shd w:val="clear" w:color="000000" w:fill="FFFFFF"/>
            <w:vAlign w:val="center"/>
            <w:hideMark/>
          </w:tcPr>
          <w:p w14:paraId="737868EC"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3.0</w:t>
            </w:r>
          </w:p>
        </w:tc>
        <w:tc>
          <w:tcPr>
            <w:tcW w:w="2540" w:type="dxa"/>
            <w:tcBorders>
              <w:top w:val="nil"/>
              <w:left w:val="nil"/>
              <w:bottom w:val="single" w:sz="4" w:space="0" w:color="000000"/>
              <w:right w:val="single" w:sz="4" w:space="0" w:color="000000"/>
            </w:tcBorders>
            <w:shd w:val="clear" w:color="000000" w:fill="FFFFFF"/>
            <w:vAlign w:val="center"/>
            <w:hideMark/>
          </w:tcPr>
          <w:p w14:paraId="6D5E160D"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5.8</w:t>
            </w:r>
          </w:p>
        </w:tc>
      </w:tr>
      <w:tr w:rsidR="00F86EA8" w:rsidRPr="00F86EA8" w14:paraId="305FB637"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6285B56F"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2012</w:t>
            </w:r>
          </w:p>
        </w:tc>
        <w:tc>
          <w:tcPr>
            <w:tcW w:w="2540" w:type="dxa"/>
            <w:tcBorders>
              <w:top w:val="nil"/>
              <w:left w:val="nil"/>
              <w:bottom w:val="single" w:sz="4" w:space="0" w:color="000000"/>
              <w:right w:val="single" w:sz="4" w:space="0" w:color="000000"/>
            </w:tcBorders>
            <w:shd w:val="clear" w:color="000000" w:fill="FFFFFF"/>
            <w:vAlign w:val="center"/>
            <w:hideMark/>
          </w:tcPr>
          <w:p w14:paraId="3E8E5810"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3.4</w:t>
            </w:r>
          </w:p>
        </w:tc>
        <w:tc>
          <w:tcPr>
            <w:tcW w:w="2540" w:type="dxa"/>
            <w:tcBorders>
              <w:top w:val="nil"/>
              <w:left w:val="nil"/>
              <w:bottom w:val="single" w:sz="4" w:space="0" w:color="000000"/>
              <w:right w:val="single" w:sz="4" w:space="0" w:color="000000"/>
            </w:tcBorders>
            <w:shd w:val="clear" w:color="000000" w:fill="FFFFFF"/>
            <w:vAlign w:val="center"/>
            <w:hideMark/>
          </w:tcPr>
          <w:p w14:paraId="75D53780"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3.1</w:t>
            </w:r>
          </w:p>
        </w:tc>
        <w:tc>
          <w:tcPr>
            <w:tcW w:w="2540" w:type="dxa"/>
            <w:tcBorders>
              <w:top w:val="nil"/>
              <w:left w:val="nil"/>
              <w:bottom w:val="single" w:sz="4" w:space="0" w:color="000000"/>
              <w:right w:val="single" w:sz="4" w:space="0" w:color="000000"/>
            </w:tcBorders>
            <w:shd w:val="clear" w:color="000000" w:fill="FFFFFF"/>
            <w:vAlign w:val="center"/>
            <w:hideMark/>
          </w:tcPr>
          <w:p w14:paraId="0FBF139A"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6.3</w:t>
            </w:r>
          </w:p>
        </w:tc>
      </w:tr>
      <w:tr w:rsidR="00F86EA8" w:rsidRPr="00F86EA8" w14:paraId="4CFAED42"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62DE2974"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2013</w:t>
            </w:r>
          </w:p>
        </w:tc>
        <w:tc>
          <w:tcPr>
            <w:tcW w:w="2540" w:type="dxa"/>
            <w:tcBorders>
              <w:top w:val="nil"/>
              <w:left w:val="nil"/>
              <w:bottom w:val="single" w:sz="4" w:space="0" w:color="000000"/>
              <w:right w:val="single" w:sz="4" w:space="0" w:color="000000"/>
            </w:tcBorders>
            <w:shd w:val="clear" w:color="000000" w:fill="FFFFFF"/>
            <w:vAlign w:val="center"/>
            <w:hideMark/>
          </w:tcPr>
          <w:p w14:paraId="7FE9404C"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3.3</w:t>
            </w:r>
          </w:p>
        </w:tc>
        <w:tc>
          <w:tcPr>
            <w:tcW w:w="2540" w:type="dxa"/>
            <w:tcBorders>
              <w:top w:val="nil"/>
              <w:left w:val="nil"/>
              <w:bottom w:val="single" w:sz="4" w:space="0" w:color="000000"/>
              <w:right w:val="single" w:sz="4" w:space="0" w:color="000000"/>
            </w:tcBorders>
            <w:shd w:val="clear" w:color="000000" w:fill="FFFFFF"/>
            <w:vAlign w:val="center"/>
            <w:hideMark/>
          </w:tcPr>
          <w:p w14:paraId="325498CC"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3.0</w:t>
            </w:r>
          </w:p>
        </w:tc>
        <w:tc>
          <w:tcPr>
            <w:tcW w:w="2540" w:type="dxa"/>
            <w:tcBorders>
              <w:top w:val="nil"/>
              <w:left w:val="nil"/>
              <w:bottom w:val="single" w:sz="4" w:space="0" w:color="000000"/>
              <w:right w:val="single" w:sz="4" w:space="0" w:color="000000"/>
            </w:tcBorders>
            <w:shd w:val="clear" w:color="000000" w:fill="FFFFFF"/>
            <w:vAlign w:val="center"/>
            <w:hideMark/>
          </w:tcPr>
          <w:p w14:paraId="7276A73E"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5.9</w:t>
            </w:r>
          </w:p>
        </w:tc>
      </w:tr>
      <w:tr w:rsidR="00F86EA8" w:rsidRPr="00F86EA8" w14:paraId="44B03083"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516CE101"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2014</w:t>
            </w:r>
          </w:p>
        </w:tc>
        <w:tc>
          <w:tcPr>
            <w:tcW w:w="2540" w:type="dxa"/>
            <w:tcBorders>
              <w:top w:val="nil"/>
              <w:left w:val="nil"/>
              <w:bottom w:val="single" w:sz="4" w:space="0" w:color="000000"/>
              <w:right w:val="single" w:sz="4" w:space="0" w:color="000000"/>
            </w:tcBorders>
            <w:shd w:val="clear" w:color="000000" w:fill="FFFFFF"/>
            <w:vAlign w:val="center"/>
            <w:hideMark/>
          </w:tcPr>
          <w:p w14:paraId="5900D002"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3.2</w:t>
            </w:r>
          </w:p>
        </w:tc>
        <w:tc>
          <w:tcPr>
            <w:tcW w:w="2540" w:type="dxa"/>
            <w:tcBorders>
              <w:top w:val="nil"/>
              <w:left w:val="nil"/>
              <w:bottom w:val="single" w:sz="4" w:space="0" w:color="000000"/>
              <w:right w:val="single" w:sz="4" w:space="0" w:color="000000"/>
            </w:tcBorders>
            <w:shd w:val="clear" w:color="000000" w:fill="FFFFFF"/>
            <w:vAlign w:val="center"/>
            <w:hideMark/>
          </w:tcPr>
          <w:p w14:paraId="0F38C51B"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3.1</w:t>
            </w:r>
          </w:p>
        </w:tc>
        <w:tc>
          <w:tcPr>
            <w:tcW w:w="2540" w:type="dxa"/>
            <w:tcBorders>
              <w:top w:val="nil"/>
              <w:left w:val="nil"/>
              <w:bottom w:val="single" w:sz="4" w:space="0" w:color="000000"/>
              <w:right w:val="single" w:sz="4" w:space="0" w:color="000000"/>
            </w:tcBorders>
            <w:shd w:val="clear" w:color="000000" w:fill="FFFFFF"/>
            <w:vAlign w:val="center"/>
            <w:hideMark/>
          </w:tcPr>
          <w:p w14:paraId="0FEE5143"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6.1</w:t>
            </w:r>
          </w:p>
        </w:tc>
      </w:tr>
      <w:tr w:rsidR="00F86EA8" w:rsidRPr="00F86EA8" w14:paraId="7D4EF161"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3641DBC5"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2015</w:t>
            </w:r>
          </w:p>
        </w:tc>
        <w:tc>
          <w:tcPr>
            <w:tcW w:w="2540" w:type="dxa"/>
            <w:tcBorders>
              <w:top w:val="nil"/>
              <w:left w:val="nil"/>
              <w:bottom w:val="single" w:sz="4" w:space="0" w:color="000000"/>
              <w:right w:val="single" w:sz="4" w:space="0" w:color="000000"/>
            </w:tcBorders>
            <w:shd w:val="clear" w:color="000000" w:fill="FFFFFF"/>
            <w:vAlign w:val="center"/>
            <w:hideMark/>
          </w:tcPr>
          <w:p w14:paraId="1798E7AA"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3.0</w:t>
            </w:r>
          </w:p>
        </w:tc>
        <w:tc>
          <w:tcPr>
            <w:tcW w:w="2540" w:type="dxa"/>
            <w:tcBorders>
              <w:top w:val="nil"/>
              <w:left w:val="nil"/>
              <w:bottom w:val="single" w:sz="4" w:space="0" w:color="000000"/>
              <w:right w:val="single" w:sz="4" w:space="0" w:color="000000"/>
            </w:tcBorders>
            <w:shd w:val="clear" w:color="000000" w:fill="FFFFFF"/>
            <w:vAlign w:val="center"/>
            <w:hideMark/>
          </w:tcPr>
          <w:p w14:paraId="5FFC2917"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2.9</w:t>
            </w:r>
          </w:p>
        </w:tc>
        <w:tc>
          <w:tcPr>
            <w:tcW w:w="2540" w:type="dxa"/>
            <w:tcBorders>
              <w:top w:val="nil"/>
              <w:left w:val="nil"/>
              <w:bottom w:val="single" w:sz="4" w:space="0" w:color="000000"/>
              <w:right w:val="single" w:sz="4" w:space="0" w:color="000000"/>
            </w:tcBorders>
            <w:shd w:val="clear" w:color="000000" w:fill="FFFFFF"/>
            <w:vAlign w:val="center"/>
            <w:hideMark/>
          </w:tcPr>
          <w:p w14:paraId="67C14A5E"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5.5</w:t>
            </w:r>
          </w:p>
        </w:tc>
      </w:tr>
      <w:tr w:rsidR="00F86EA8" w:rsidRPr="00F86EA8" w14:paraId="3B2BFA3B"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588F1265"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2016</w:t>
            </w:r>
          </w:p>
        </w:tc>
        <w:tc>
          <w:tcPr>
            <w:tcW w:w="2540" w:type="dxa"/>
            <w:tcBorders>
              <w:top w:val="nil"/>
              <w:left w:val="nil"/>
              <w:bottom w:val="single" w:sz="4" w:space="0" w:color="000000"/>
              <w:right w:val="single" w:sz="4" w:space="0" w:color="000000"/>
            </w:tcBorders>
            <w:shd w:val="clear" w:color="000000" w:fill="FFFFFF"/>
            <w:vAlign w:val="center"/>
            <w:hideMark/>
          </w:tcPr>
          <w:p w14:paraId="03C185C9"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2.9</w:t>
            </w:r>
          </w:p>
        </w:tc>
        <w:tc>
          <w:tcPr>
            <w:tcW w:w="2540" w:type="dxa"/>
            <w:tcBorders>
              <w:top w:val="nil"/>
              <w:left w:val="nil"/>
              <w:bottom w:val="single" w:sz="4" w:space="0" w:color="000000"/>
              <w:right w:val="single" w:sz="4" w:space="0" w:color="000000"/>
            </w:tcBorders>
            <w:shd w:val="clear" w:color="000000" w:fill="FFFFFF"/>
            <w:vAlign w:val="center"/>
            <w:hideMark/>
          </w:tcPr>
          <w:p w14:paraId="3236225F"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2.8</w:t>
            </w:r>
          </w:p>
        </w:tc>
        <w:tc>
          <w:tcPr>
            <w:tcW w:w="2540" w:type="dxa"/>
            <w:tcBorders>
              <w:top w:val="nil"/>
              <w:left w:val="nil"/>
              <w:bottom w:val="single" w:sz="4" w:space="0" w:color="000000"/>
              <w:right w:val="single" w:sz="4" w:space="0" w:color="000000"/>
            </w:tcBorders>
            <w:shd w:val="clear" w:color="000000" w:fill="FFFFFF"/>
            <w:vAlign w:val="center"/>
            <w:hideMark/>
          </w:tcPr>
          <w:p w14:paraId="61D172BF"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6.5</w:t>
            </w:r>
          </w:p>
        </w:tc>
      </w:tr>
      <w:tr w:rsidR="00F86EA8" w:rsidRPr="00F86EA8" w14:paraId="5DEA25FA"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212B720B"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2017</w:t>
            </w:r>
          </w:p>
        </w:tc>
        <w:tc>
          <w:tcPr>
            <w:tcW w:w="2540" w:type="dxa"/>
            <w:tcBorders>
              <w:top w:val="nil"/>
              <w:left w:val="nil"/>
              <w:bottom w:val="single" w:sz="4" w:space="0" w:color="000000"/>
              <w:right w:val="single" w:sz="4" w:space="0" w:color="000000"/>
            </w:tcBorders>
            <w:shd w:val="clear" w:color="000000" w:fill="FFFFFF"/>
            <w:vAlign w:val="center"/>
            <w:hideMark/>
          </w:tcPr>
          <w:p w14:paraId="1AC2C3D9"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2.8</w:t>
            </w:r>
          </w:p>
        </w:tc>
        <w:tc>
          <w:tcPr>
            <w:tcW w:w="2540" w:type="dxa"/>
            <w:tcBorders>
              <w:top w:val="nil"/>
              <w:left w:val="nil"/>
              <w:bottom w:val="single" w:sz="4" w:space="0" w:color="000000"/>
              <w:right w:val="single" w:sz="4" w:space="0" w:color="000000"/>
            </w:tcBorders>
            <w:shd w:val="clear" w:color="000000" w:fill="FFFFFF"/>
            <w:vAlign w:val="center"/>
            <w:hideMark/>
          </w:tcPr>
          <w:p w14:paraId="3CE029FC"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2.6</w:t>
            </w:r>
          </w:p>
        </w:tc>
        <w:tc>
          <w:tcPr>
            <w:tcW w:w="2540" w:type="dxa"/>
            <w:tcBorders>
              <w:top w:val="nil"/>
              <w:left w:val="nil"/>
              <w:bottom w:val="single" w:sz="4" w:space="0" w:color="000000"/>
              <w:right w:val="single" w:sz="4" w:space="0" w:color="000000"/>
            </w:tcBorders>
            <w:shd w:val="clear" w:color="000000" w:fill="FFFFFF"/>
            <w:vAlign w:val="center"/>
            <w:hideMark/>
          </w:tcPr>
          <w:p w14:paraId="7EB76D54"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5.9</w:t>
            </w:r>
          </w:p>
        </w:tc>
      </w:tr>
      <w:tr w:rsidR="00F86EA8" w:rsidRPr="00F86EA8" w14:paraId="33F81FE2"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7ABFC866"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2018</w:t>
            </w:r>
          </w:p>
        </w:tc>
        <w:tc>
          <w:tcPr>
            <w:tcW w:w="2540" w:type="dxa"/>
            <w:tcBorders>
              <w:top w:val="nil"/>
              <w:left w:val="nil"/>
              <w:bottom w:val="single" w:sz="4" w:space="0" w:color="000000"/>
              <w:right w:val="single" w:sz="4" w:space="0" w:color="000000"/>
            </w:tcBorders>
            <w:shd w:val="clear" w:color="000000" w:fill="FFFFFF"/>
            <w:vAlign w:val="center"/>
            <w:hideMark/>
          </w:tcPr>
          <w:p w14:paraId="2A77F66E"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2.8</w:t>
            </w:r>
          </w:p>
        </w:tc>
        <w:tc>
          <w:tcPr>
            <w:tcW w:w="2540" w:type="dxa"/>
            <w:tcBorders>
              <w:top w:val="nil"/>
              <w:left w:val="nil"/>
              <w:bottom w:val="single" w:sz="4" w:space="0" w:color="000000"/>
              <w:right w:val="single" w:sz="4" w:space="0" w:color="000000"/>
            </w:tcBorders>
            <w:shd w:val="clear" w:color="000000" w:fill="FFFFFF"/>
            <w:vAlign w:val="center"/>
            <w:hideMark/>
          </w:tcPr>
          <w:p w14:paraId="573599B9"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2.8</w:t>
            </w:r>
          </w:p>
        </w:tc>
        <w:tc>
          <w:tcPr>
            <w:tcW w:w="2540" w:type="dxa"/>
            <w:tcBorders>
              <w:top w:val="nil"/>
              <w:left w:val="nil"/>
              <w:bottom w:val="single" w:sz="4" w:space="0" w:color="000000"/>
              <w:right w:val="single" w:sz="4" w:space="0" w:color="000000"/>
            </w:tcBorders>
            <w:shd w:val="clear" w:color="000000" w:fill="FFFFFF"/>
            <w:vAlign w:val="center"/>
            <w:hideMark/>
          </w:tcPr>
          <w:p w14:paraId="3E573E26"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5.9</w:t>
            </w:r>
          </w:p>
        </w:tc>
      </w:tr>
      <w:tr w:rsidR="00F86EA8" w:rsidRPr="00F86EA8" w14:paraId="46051EFB"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50EBE00A"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2019</w:t>
            </w:r>
          </w:p>
        </w:tc>
        <w:tc>
          <w:tcPr>
            <w:tcW w:w="2540" w:type="dxa"/>
            <w:tcBorders>
              <w:top w:val="nil"/>
              <w:left w:val="nil"/>
              <w:bottom w:val="single" w:sz="4" w:space="0" w:color="000000"/>
              <w:right w:val="single" w:sz="4" w:space="0" w:color="000000"/>
            </w:tcBorders>
            <w:shd w:val="clear" w:color="000000" w:fill="FFFFFF"/>
            <w:vAlign w:val="center"/>
            <w:hideMark/>
          </w:tcPr>
          <w:p w14:paraId="03FECFA8"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2.8</w:t>
            </w:r>
          </w:p>
        </w:tc>
        <w:tc>
          <w:tcPr>
            <w:tcW w:w="2540" w:type="dxa"/>
            <w:tcBorders>
              <w:top w:val="nil"/>
              <w:left w:val="nil"/>
              <w:bottom w:val="single" w:sz="4" w:space="0" w:color="000000"/>
              <w:right w:val="single" w:sz="4" w:space="0" w:color="000000"/>
            </w:tcBorders>
            <w:shd w:val="clear" w:color="000000" w:fill="FFFFFF"/>
            <w:vAlign w:val="center"/>
            <w:hideMark/>
          </w:tcPr>
          <w:p w14:paraId="61710259"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2.6</w:t>
            </w:r>
          </w:p>
        </w:tc>
        <w:tc>
          <w:tcPr>
            <w:tcW w:w="2540" w:type="dxa"/>
            <w:tcBorders>
              <w:top w:val="nil"/>
              <w:left w:val="nil"/>
              <w:bottom w:val="single" w:sz="4" w:space="0" w:color="000000"/>
              <w:right w:val="single" w:sz="4" w:space="0" w:color="000000"/>
            </w:tcBorders>
            <w:shd w:val="clear" w:color="000000" w:fill="FFFFFF"/>
            <w:vAlign w:val="center"/>
            <w:hideMark/>
          </w:tcPr>
          <w:p w14:paraId="4773F184"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6.3</w:t>
            </w:r>
          </w:p>
        </w:tc>
      </w:tr>
      <w:tr w:rsidR="00F86EA8" w:rsidRPr="00F86EA8" w14:paraId="2B3635AE"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4D826EB5"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2020</w:t>
            </w:r>
          </w:p>
        </w:tc>
        <w:tc>
          <w:tcPr>
            <w:tcW w:w="2540" w:type="dxa"/>
            <w:tcBorders>
              <w:top w:val="nil"/>
              <w:left w:val="nil"/>
              <w:bottom w:val="single" w:sz="4" w:space="0" w:color="000000"/>
              <w:right w:val="single" w:sz="4" w:space="0" w:color="000000"/>
            </w:tcBorders>
            <w:shd w:val="clear" w:color="000000" w:fill="FFFFFF"/>
            <w:vAlign w:val="center"/>
            <w:hideMark/>
          </w:tcPr>
          <w:p w14:paraId="1FDDE255"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2.7</w:t>
            </w:r>
          </w:p>
        </w:tc>
        <w:tc>
          <w:tcPr>
            <w:tcW w:w="2540" w:type="dxa"/>
            <w:tcBorders>
              <w:top w:val="nil"/>
              <w:left w:val="nil"/>
              <w:bottom w:val="single" w:sz="4" w:space="0" w:color="000000"/>
              <w:right w:val="single" w:sz="4" w:space="0" w:color="000000"/>
            </w:tcBorders>
            <w:shd w:val="clear" w:color="000000" w:fill="FFFFFF"/>
            <w:vAlign w:val="center"/>
            <w:hideMark/>
          </w:tcPr>
          <w:p w14:paraId="1E40A2C9"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2.5</w:t>
            </w:r>
          </w:p>
        </w:tc>
        <w:tc>
          <w:tcPr>
            <w:tcW w:w="2540" w:type="dxa"/>
            <w:tcBorders>
              <w:top w:val="nil"/>
              <w:left w:val="nil"/>
              <w:bottom w:val="single" w:sz="4" w:space="0" w:color="000000"/>
              <w:right w:val="single" w:sz="4" w:space="0" w:color="000000"/>
            </w:tcBorders>
            <w:shd w:val="clear" w:color="000000" w:fill="FFFFFF"/>
            <w:vAlign w:val="center"/>
            <w:hideMark/>
          </w:tcPr>
          <w:p w14:paraId="30B1AC92"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3.6</w:t>
            </w:r>
          </w:p>
        </w:tc>
      </w:tr>
      <w:tr w:rsidR="00F86EA8" w:rsidRPr="00F86EA8" w14:paraId="1663D0CE" w14:textId="77777777" w:rsidTr="00F86EA8">
        <w:trPr>
          <w:trHeight w:val="402"/>
        </w:trPr>
        <w:tc>
          <w:tcPr>
            <w:tcW w:w="4160" w:type="dxa"/>
            <w:tcBorders>
              <w:top w:val="nil"/>
              <w:left w:val="single" w:sz="4" w:space="0" w:color="000000"/>
              <w:bottom w:val="single" w:sz="4" w:space="0" w:color="000000"/>
              <w:right w:val="single" w:sz="4" w:space="0" w:color="000000"/>
            </w:tcBorders>
            <w:shd w:val="clear" w:color="000000" w:fill="FFFFFF"/>
            <w:vAlign w:val="center"/>
            <w:hideMark/>
          </w:tcPr>
          <w:p w14:paraId="59B6297A"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2021</w:t>
            </w:r>
          </w:p>
        </w:tc>
        <w:tc>
          <w:tcPr>
            <w:tcW w:w="2540" w:type="dxa"/>
            <w:tcBorders>
              <w:top w:val="nil"/>
              <w:left w:val="nil"/>
              <w:bottom w:val="single" w:sz="4" w:space="0" w:color="000000"/>
              <w:right w:val="single" w:sz="4" w:space="0" w:color="000000"/>
            </w:tcBorders>
            <w:shd w:val="clear" w:color="000000" w:fill="FFFFFF"/>
            <w:vAlign w:val="center"/>
            <w:hideMark/>
          </w:tcPr>
          <w:p w14:paraId="3C622249"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2.7</w:t>
            </w:r>
          </w:p>
        </w:tc>
        <w:tc>
          <w:tcPr>
            <w:tcW w:w="2540" w:type="dxa"/>
            <w:tcBorders>
              <w:top w:val="nil"/>
              <w:left w:val="nil"/>
              <w:bottom w:val="single" w:sz="4" w:space="0" w:color="000000"/>
              <w:right w:val="single" w:sz="4" w:space="0" w:color="000000"/>
            </w:tcBorders>
            <w:shd w:val="clear" w:color="000000" w:fill="FFFFFF"/>
            <w:vAlign w:val="center"/>
            <w:hideMark/>
          </w:tcPr>
          <w:p w14:paraId="1BCA12C1"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2.7</w:t>
            </w:r>
          </w:p>
        </w:tc>
        <w:tc>
          <w:tcPr>
            <w:tcW w:w="2540" w:type="dxa"/>
            <w:tcBorders>
              <w:top w:val="nil"/>
              <w:left w:val="nil"/>
              <w:bottom w:val="single" w:sz="4" w:space="0" w:color="000000"/>
              <w:right w:val="single" w:sz="4" w:space="0" w:color="000000"/>
            </w:tcBorders>
            <w:shd w:val="clear" w:color="000000" w:fill="FFFFFF"/>
            <w:vAlign w:val="center"/>
            <w:hideMark/>
          </w:tcPr>
          <w:p w14:paraId="323E2D7D" w14:textId="77777777" w:rsidR="00F86EA8" w:rsidRPr="00F86EA8" w:rsidRDefault="00F86EA8" w:rsidP="00F86EA8">
            <w:pPr>
              <w:spacing w:after="0" w:line="240" w:lineRule="auto"/>
              <w:jc w:val="center"/>
              <w:rPr>
                <w:rFonts w:ascii="SansSerif" w:eastAsia="Times New Roman" w:hAnsi="SansSerif" w:cs="Arial"/>
                <w:color w:val="000000"/>
                <w:sz w:val="20"/>
                <w:szCs w:val="20"/>
              </w:rPr>
            </w:pPr>
            <w:r w:rsidRPr="00F86EA8">
              <w:rPr>
                <w:rFonts w:ascii="SansSerif" w:eastAsia="Times New Roman" w:hAnsi="SansSerif" w:cs="Arial"/>
                <w:color w:val="000000"/>
                <w:sz w:val="20"/>
                <w:szCs w:val="20"/>
              </w:rPr>
              <w:t>4.7</w:t>
            </w:r>
          </w:p>
        </w:tc>
      </w:tr>
    </w:tbl>
    <w:p w14:paraId="0E4E31C0" w14:textId="77777777" w:rsidR="00F86EA8" w:rsidRPr="00F86EA8" w:rsidRDefault="00F86EA8" w:rsidP="00800938">
      <w:pPr>
        <w:pStyle w:val="NormalWeb"/>
        <w:shd w:val="clear" w:color="auto" w:fill="FFFFFF"/>
        <w:rPr>
          <w:rFonts w:ascii="Arial" w:hAnsi="Arial" w:cs="Arial"/>
          <w:color w:val="333333"/>
          <w:sz w:val="18"/>
          <w:szCs w:val="18"/>
        </w:rPr>
      </w:pPr>
      <w:r w:rsidRPr="00F86EA8">
        <w:rPr>
          <w:rFonts w:ascii="Arial" w:hAnsi="Arial" w:cs="Arial"/>
          <w:color w:val="333333"/>
          <w:sz w:val="18"/>
          <w:szCs w:val="18"/>
        </w:rPr>
        <w:t xml:space="preserve">*2006 </w:t>
      </w:r>
      <w:r w:rsidR="000B7554">
        <w:rPr>
          <w:rFonts w:ascii="Arial" w:hAnsi="Arial" w:cs="Arial"/>
          <w:color w:val="333333"/>
          <w:sz w:val="18"/>
          <w:szCs w:val="18"/>
        </w:rPr>
        <w:t xml:space="preserve">Maryland Public Sector </w:t>
      </w:r>
      <w:r w:rsidRPr="00F86EA8">
        <w:rPr>
          <w:rFonts w:ascii="Arial" w:hAnsi="Arial" w:cs="Arial"/>
          <w:color w:val="333333"/>
          <w:sz w:val="18"/>
          <w:szCs w:val="18"/>
        </w:rPr>
        <w:t>data did not meet publication criteria</w:t>
      </w:r>
    </w:p>
    <w:p w14:paraId="68D74E17" w14:textId="77777777" w:rsidR="00F86EA8" w:rsidRDefault="00F86EA8" w:rsidP="00800938">
      <w:pPr>
        <w:pStyle w:val="NormalWeb"/>
        <w:shd w:val="clear" w:color="auto" w:fill="FFFFFF"/>
        <w:rPr>
          <w:rFonts w:ascii="Arial" w:hAnsi="Arial" w:cs="Arial"/>
          <w:color w:val="333333"/>
          <w:sz w:val="21"/>
          <w:szCs w:val="21"/>
        </w:rPr>
      </w:pPr>
    </w:p>
    <w:p w14:paraId="26DBC32A" w14:textId="77777777" w:rsidR="009D3F8E" w:rsidRDefault="009D3F8E" w:rsidP="00800938">
      <w:pPr>
        <w:pStyle w:val="NormalWeb"/>
        <w:shd w:val="clear" w:color="auto" w:fill="FFFFFF"/>
        <w:rPr>
          <w:rFonts w:ascii="Arial" w:hAnsi="Arial" w:cs="Arial"/>
          <w:color w:val="333333"/>
          <w:sz w:val="21"/>
          <w:szCs w:val="21"/>
        </w:rPr>
      </w:pPr>
      <w:r>
        <w:rPr>
          <w:noProof/>
        </w:rPr>
        <w:lastRenderedPageBreak/>
        <w:drawing>
          <wp:inline distT="0" distB="0" distL="0" distR="0" wp14:anchorId="75C86925" wp14:editId="2476ACAD">
            <wp:extent cx="5943600" cy="4197985"/>
            <wp:effectExtent l="0" t="0" r="0" b="0"/>
            <wp:docPr id="2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197985"/>
                    </a:xfrm>
                    <a:prstGeom prst="rect">
                      <a:avLst/>
                    </a:prstGeom>
                    <a:noFill/>
                    <a:ln>
                      <a:noFill/>
                    </a:ln>
                  </pic:spPr>
                </pic:pic>
              </a:graphicData>
            </a:graphic>
          </wp:inline>
        </w:drawing>
      </w:r>
    </w:p>
    <w:p w14:paraId="57DAF0EE" w14:textId="77777777" w:rsidR="00C80565" w:rsidRPr="00EB6D10" w:rsidRDefault="009D3F8E" w:rsidP="00EB6D10">
      <w:pPr>
        <w:pStyle w:val="NormalWeb"/>
        <w:shd w:val="clear" w:color="auto" w:fill="FFFFFF"/>
        <w:rPr>
          <w:rStyle w:val="Strong"/>
          <w:rFonts w:ascii="Arial" w:hAnsi="Arial" w:cs="Arial"/>
          <w:b w:val="0"/>
          <w:bCs w:val="0"/>
          <w:color w:val="333333"/>
          <w:sz w:val="21"/>
          <w:szCs w:val="21"/>
        </w:rPr>
      </w:pPr>
      <w:r>
        <w:rPr>
          <w:rFonts w:ascii="Arial" w:hAnsi="Arial" w:cs="Arial"/>
          <w:color w:val="333333"/>
          <w:sz w:val="21"/>
          <w:szCs w:val="21"/>
        </w:rPr>
        <w:lastRenderedPageBreak/>
        <w:t xml:space="preserve"> </w:t>
      </w:r>
      <w:r>
        <w:rPr>
          <w:noProof/>
        </w:rPr>
        <w:drawing>
          <wp:inline distT="0" distB="0" distL="0" distR="0" wp14:anchorId="77CB398B" wp14:editId="4A6B7B63">
            <wp:extent cx="5943600" cy="3863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63340"/>
                    </a:xfrm>
                    <a:prstGeom prst="rect">
                      <a:avLst/>
                    </a:prstGeom>
                    <a:noFill/>
                    <a:ln>
                      <a:noFill/>
                    </a:ln>
                  </pic:spPr>
                </pic:pic>
              </a:graphicData>
            </a:graphic>
          </wp:inline>
        </w:drawing>
      </w:r>
      <w:bookmarkStart w:id="0" w:name="_GoBack"/>
      <w:bookmarkEnd w:id="0"/>
    </w:p>
    <w:p w14:paraId="0559D007" w14:textId="1281F7DB" w:rsidR="00FF5810" w:rsidRDefault="006B3E38" w:rsidP="00FF5810">
      <w:pPr>
        <w:pStyle w:val="NormalWeb"/>
        <w:shd w:val="clear" w:color="auto" w:fill="FFFFFF"/>
        <w:rPr>
          <w:rFonts w:ascii="Arial" w:hAnsi="Arial" w:cs="Arial"/>
          <w:color w:val="333333"/>
          <w:sz w:val="21"/>
          <w:szCs w:val="21"/>
        </w:rPr>
      </w:pPr>
      <w:r>
        <w:rPr>
          <w:rStyle w:val="Strong"/>
          <w:rFonts w:ascii="Arial" w:hAnsi="Arial" w:cs="Arial"/>
          <w:color w:val="333333"/>
          <w:sz w:val="21"/>
          <w:szCs w:val="21"/>
        </w:rPr>
        <w:t>Additional Information</w:t>
      </w:r>
    </w:p>
    <w:p w14:paraId="38C7757E" w14:textId="1A6F9000" w:rsidR="006B3E38" w:rsidRDefault="00FF5810" w:rsidP="006B3E38">
      <w:pPr>
        <w:pStyle w:val="NormalWeb"/>
        <w:shd w:val="clear" w:color="auto" w:fill="FFFFFF"/>
        <w:rPr>
          <w:rFonts w:ascii="Arial" w:hAnsi="Arial" w:cs="Arial"/>
          <w:color w:val="333333"/>
          <w:sz w:val="21"/>
          <w:szCs w:val="21"/>
        </w:rPr>
      </w:pPr>
      <w:r>
        <w:rPr>
          <w:rFonts w:ascii="Arial" w:hAnsi="Arial" w:cs="Arial"/>
          <w:color w:val="333333"/>
          <w:sz w:val="21"/>
          <w:szCs w:val="21"/>
        </w:rPr>
        <w:t xml:space="preserve">The Survey of Occupational Injuries and Illnesses (SOII) is a cooperative program between the State of Maryland’s Department of Labor, Licensing and Regulation, Division of Labor and Industry and the U.S. Department of Labor, Bureau of Labor Statistics. </w:t>
      </w:r>
      <w:r w:rsidR="00B1208E" w:rsidRPr="00B1208E">
        <w:rPr>
          <w:rFonts w:ascii="Arial" w:hAnsi="Arial" w:cs="Arial"/>
          <w:color w:val="333333"/>
          <w:sz w:val="21"/>
          <w:szCs w:val="21"/>
        </w:rPr>
        <w:t>The SOII presents estimates of counts and incidence rates of employer reported nonfatal workplace injuries and illnesses by industry and type of case.</w:t>
      </w:r>
      <w:r w:rsidR="00B1208E">
        <w:rPr>
          <w:rFonts w:ascii="Arial" w:hAnsi="Arial" w:cs="Arial"/>
          <w:color w:val="333333"/>
          <w:sz w:val="21"/>
          <w:szCs w:val="21"/>
        </w:rPr>
        <w:t xml:space="preserve"> </w:t>
      </w:r>
      <w:r w:rsidR="00B1208E" w:rsidRPr="00B1208E">
        <w:rPr>
          <w:rFonts w:ascii="Arial" w:hAnsi="Arial" w:cs="Arial"/>
          <w:color w:val="333333"/>
          <w:sz w:val="21"/>
          <w:szCs w:val="21"/>
        </w:rPr>
        <w:t>BLS has generated estimates of nonfatal occupational injuries and illnesses for many industries as defined in the 2017 North American Industry Classification System (NAICS) manual</w:t>
      </w:r>
      <w:r w:rsidR="00B1208E">
        <w:rPr>
          <w:rFonts w:ascii="Arial" w:hAnsi="Arial" w:cs="Arial"/>
          <w:color w:val="333333"/>
          <w:sz w:val="21"/>
          <w:szCs w:val="21"/>
        </w:rPr>
        <w:t xml:space="preserve">. </w:t>
      </w:r>
      <w:r w:rsidR="006B3E38">
        <w:rPr>
          <w:rFonts w:ascii="Arial" w:hAnsi="Arial" w:cs="Arial"/>
          <w:color w:val="333333"/>
          <w:sz w:val="21"/>
          <w:szCs w:val="21"/>
        </w:rPr>
        <w:t xml:space="preserve">Occupational injury and illness statistics have been published for Maryland’s private sector every year since 1972 and for Maryland state and local government from 1979 forward. </w:t>
      </w:r>
    </w:p>
    <w:p w14:paraId="55F3C432" w14:textId="77777777" w:rsidR="0029279A" w:rsidRDefault="00FF5810" w:rsidP="00FF5810">
      <w:pPr>
        <w:pStyle w:val="NormalWeb"/>
        <w:shd w:val="clear" w:color="auto" w:fill="FFFFFF"/>
        <w:rPr>
          <w:rFonts w:ascii="Arial" w:hAnsi="Arial" w:cs="Arial"/>
          <w:color w:val="333333"/>
          <w:sz w:val="21"/>
          <w:szCs w:val="21"/>
        </w:rPr>
      </w:pPr>
      <w:r>
        <w:rPr>
          <w:rFonts w:ascii="Arial" w:hAnsi="Arial" w:cs="Arial"/>
          <w:color w:val="333333"/>
          <w:sz w:val="21"/>
          <w:szCs w:val="21"/>
        </w:rPr>
        <w:t xml:space="preserve">The SOII program also provides details on the circumstances and characteristics of the more seriously injured and ill workers. </w:t>
      </w:r>
      <w:r w:rsidR="00DB1960" w:rsidRPr="00DB1960">
        <w:rPr>
          <w:rFonts w:ascii="Arial" w:hAnsi="Arial" w:cs="Arial"/>
          <w:color w:val="333333"/>
          <w:sz w:val="21"/>
          <w:szCs w:val="21"/>
        </w:rPr>
        <w:t>Estimates involving days away from work (DAFW) by detailed case characteristics and worker demographics for 2021 are not published in this release. In the Fall of 2023, SOII will begin biennial publication for DAFW and days of job transfer or restriction (DJTR) for the period 2021-2022. Estimates for detailed industry by case type are unchanged.</w:t>
      </w:r>
      <w:r w:rsidR="0029279A">
        <w:rPr>
          <w:rFonts w:ascii="Arial" w:hAnsi="Arial" w:cs="Arial"/>
          <w:color w:val="333333"/>
          <w:sz w:val="21"/>
          <w:szCs w:val="21"/>
        </w:rPr>
        <w:t xml:space="preserve"> </w:t>
      </w:r>
    </w:p>
    <w:p w14:paraId="618E4FCB" w14:textId="303C2A45" w:rsidR="00FF5810" w:rsidRDefault="0029279A" w:rsidP="00FF5810">
      <w:pPr>
        <w:pStyle w:val="NormalWeb"/>
        <w:shd w:val="clear" w:color="auto" w:fill="FFFFFF"/>
        <w:rPr>
          <w:rFonts w:ascii="Arial" w:hAnsi="Arial" w:cs="Arial"/>
          <w:color w:val="333333"/>
          <w:sz w:val="21"/>
          <w:szCs w:val="21"/>
        </w:rPr>
      </w:pPr>
      <w:r>
        <w:rPr>
          <w:rFonts w:ascii="Arial" w:hAnsi="Arial" w:cs="Arial"/>
          <w:color w:val="333333"/>
          <w:sz w:val="21"/>
          <w:szCs w:val="21"/>
        </w:rPr>
        <w:t>SOII</w:t>
      </w:r>
      <w:r w:rsidRPr="0029279A">
        <w:rPr>
          <w:rFonts w:ascii="Arial" w:hAnsi="Arial" w:cs="Arial"/>
          <w:color w:val="333333"/>
          <w:sz w:val="21"/>
          <w:szCs w:val="21"/>
        </w:rPr>
        <w:t xml:space="preserve"> relies on OSHA recordkeeping requirements, which mandate employers record certain work-related injuries and illnesses on their OSHA 300 log, including the recording of cases of COVID-19, see www.osha.gov/coronavirus/standards. </w:t>
      </w:r>
    </w:p>
    <w:p w14:paraId="0C94A888" w14:textId="47718D71" w:rsidR="006B3E38" w:rsidRDefault="006B3E38" w:rsidP="00FF5810">
      <w:pPr>
        <w:pStyle w:val="NormalWeb"/>
        <w:shd w:val="clear" w:color="auto" w:fill="FFFFFF"/>
        <w:rPr>
          <w:rFonts w:ascii="Arial" w:hAnsi="Arial" w:cs="Arial"/>
          <w:color w:val="333333"/>
          <w:sz w:val="21"/>
          <w:szCs w:val="21"/>
        </w:rPr>
      </w:pPr>
      <w:r w:rsidRPr="006B3E38">
        <w:rPr>
          <w:rFonts w:ascii="Arial" w:hAnsi="Arial" w:cs="Arial"/>
          <w:color w:val="333333"/>
          <w:sz w:val="21"/>
          <w:szCs w:val="21"/>
        </w:rPr>
        <w:t xml:space="preserve">All comparison statements made in this news release are statistically significant at the 95 percent confidence level. Additional background and methodological information regarding the BLS occupational safety and health statistics program is in the BLS Handbook of Methods at </w:t>
      </w:r>
      <w:r w:rsidRPr="006B3E38">
        <w:rPr>
          <w:rFonts w:ascii="Arial" w:hAnsi="Arial" w:cs="Arial"/>
          <w:color w:val="333333"/>
          <w:sz w:val="21"/>
          <w:szCs w:val="21"/>
        </w:rPr>
        <w:lastRenderedPageBreak/>
        <w:t>www.bls.gov/opub/hom/soii/home.htm. Additional data from the SOII are available on the BLS website at www.bls.gov/iif</w:t>
      </w:r>
      <w:r>
        <w:rPr>
          <w:rFonts w:ascii="Arial" w:hAnsi="Arial" w:cs="Arial"/>
          <w:color w:val="333333"/>
          <w:sz w:val="21"/>
          <w:szCs w:val="21"/>
        </w:rPr>
        <w:t>.</w:t>
      </w:r>
    </w:p>
    <w:p w14:paraId="4C334DF1" w14:textId="3D17B262" w:rsidR="00123C95" w:rsidRDefault="001B229B" w:rsidP="0052156E">
      <w:r>
        <w:rPr>
          <w:rStyle w:val="Strong"/>
          <w:rFonts w:ascii="Arial" w:hAnsi="Arial" w:cs="Arial"/>
          <w:color w:val="333333"/>
          <w:sz w:val="21"/>
          <w:szCs w:val="21"/>
          <w:shd w:val="clear" w:color="auto" w:fill="FFFFFF"/>
        </w:rPr>
        <w:t>State and National d</w:t>
      </w:r>
      <w:r w:rsidR="00FF5810">
        <w:rPr>
          <w:rStyle w:val="Strong"/>
          <w:rFonts w:ascii="Arial" w:hAnsi="Arial" w:cs="Arial"/>
          <w:color w:val="333333"/>
          <w:sz w:val="21"/>
          <w:szCs w:val="21"/>
          <w:shd w:val="clear" w:color="auto" w:fill="FFFFFF"/>
        </w:rPr>
        <w:t>ata Tables</w:t>
      </w:r>
      <w:r w:rsidR="00C9608E">
        <w:rPr>
          <w:rStyle w:val="Strong"/>
          <w:rFonts w:ascii="Arial" w:hAnsi="Arial" w:cs="Arial"/>
          <w:color w:val="333333"/>
          <w:sz w:val="21"/>
          <w:szCs w:val="21"/>
          <w:shd w:val="clear" w:color="auto" w:fill="FFFFFF"/>
        </w:rPr>
        <w:t xml:space="preserve"> can be found at the Federal BLS website </w:t>
      </w:r>
      <w:r w:rsidR="006B3E38">
        <w:rPr>
          <w:rStyle w:val="Strong"/>
          <w:rFonts w:ascii="Arial" w:hAnsi="Arial" w:cs="Arial"/>
          <w:color w:val="333333"/>
          <w:sz w:val="21"/>
          <w:szCs w:val="21"/>
          <w:shd w:val="clear" w:color="auto" w:fill="FFFFFF"/>
        </w:rPr>
        <w:t xml:space="preserve">at </w:t>
      </w:r>
      <w:r w:rsidR="00111BDB" w:rsidRPr="00111BDB">
        <w:rPr>
          <w:rStyle w:val="Strong"/>
          <w:rFonts w:ascii="Arial" w:hAnsi="Arial" w:cs="Arial"/>
          <w:color w:val="333333"/>
          <w:sz w:val="21"/>
          <w:szCs w:val="21"/>
          <w:shd w:val="clear" w:color="auto" w:fill="FFFFFF"/>
        </w:rPr>
        <w:t>www.bls.gov/iif/state-data.htm</w:t>
      </w:r>
      <w:r w:rsidR="006B3E38">
        <w:rPr>
          <w:rStyle w:val="Strong"/>
          <w:rFonts w:ascii="Arial" w:hAnsi="Arial" w:cs="Arial"/>
          <w:color w:val="333333"/>
          <w:sz w:val="21"/>
          <w:szCs w:val="21"/>
          <w:shd w:val="clear" w:color="auto" w:fill="FFFFFF"/>
        </w:rPr>
        <w:t>.</w:t>
      </w:r>
    </w:p>
    <w:p w14:paraId="6742007F" w14:textId="77777777" w:rsidR="00123C95" w:rsidRPr="0052156E" w:rsidRDefault="00123C95" w:rsidP="0052156E"/>
    <w:sectPr w:rsidR="00123C95" w:rsidRPr="0052156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4855" w16cex:dateUtc="2022-12-20T19:42:00Z"/>
  <w16cex:commentExtensible w16cex:durableId="274C31AA" w16cex:dateUtc="2022-12-20T18:05:00Z"/>
  <w16cex:commentExtensible w16cex:durableId="274C37B8" w16cex:dateUtc="2022-12-20T18:31:00Z"/>
  <w16cex:commentExtensible w16cex:durableId="274C37EA" w16cex:dateUtc="2022-12-20T18:32:00Z"/>
  <w16cex:commentExtensible w16cex:durableId="274D5320" w16cex:dateUtc="2022-12-21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19A6D" w16cid:durableId="274C4855"/>
  <w16cid:commentId w16cid:paraId="4E91E647" w16cid:durableId="274D52ED"/>
  <w16cid:commentId w16cid:paraId="38CF73D4" w16cid:durableId="274C31AA"/>
  <w16cid:commentId w16cid:paraId="792EF799" w16cid:durableId="274D52EF"/>
  <w16cid:commentId w16cid:paraId="1BA92A68" w16cid:durableId="274C37B8"/>
  <w16cid:commentId w16cid:paraId="06BBD40F" w16cid:durableId="274D52F1"/>
  <w16cid:commentId w16cid:paraId="6CF3C5DE" w16cid:durableId="274C37EA"/>
  <w16cid:commentId w16cid:paraId="6258EDCF" w16cid:durableId="274D52F3"/>
  <w16cid:commentId w16cid:paraId="12D3E55E" w16cid:durableId="274D53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44905"/>
    <w:multiLevelType w:val="hybridMultilevel"/>
    <w:tmpl w:val="2702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850FD8"/>
    <w:multiLevelType w:val="hybridMultilevel"/>
    <w:tmpl w:val="09B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6E"/>
    <w:rsid w:val="0001602F"/>
    <w:rsid w:val="00027176"/>
    <w:rsid w:val="00043066"/>
    <w:rsid w:val="00045D76"/>
    <w:rsid w:val="000B7554"/>
    <w:rsid w:val="000B7D36"/>
    <w:rsid w:val="000C4F89"/>
    <w:rsid w:val="000C709B"/>
    <w:rsid w:val="00111BDB"/>
    <w:rsid w:val="001120D4"/>
    <w:rsid w:val="00123C95"/>
    <w:rsid w:val="00124BC0"/>
    <w:rsid w:val="00164396"/>
    <w:rsid w:val="001A3040"/>
    <w:rsid w:val="001B07D5"/>
    <w:rsid w:val="001B229B"/>
    <w:rsid w:val="001C7897"/>
    <w:rsid w:val="001E04B0"/>
    <w:rsid w:val="0024212D"/>
    <w:rsid w:val="002545D5"/>
    <w:rsid w:val="00261A49"/>
    <w:rsid w:val="002831B1"/>
    <w:rsid w:val="0029279A"/>
    <w:rsid w:val="002C2F41"/>
    <w:rsid w:val="002D7AB8"/>
    <w:rsid w:val="00300683"/>
    <w:rsid w:val="00311983"/>
    <w:rsid w:val="00337D6F"/>
    <w:rsid w:val="003A1F2A"/>
    <w:rsid w:val="003B44FE"/>
    <w:rsid w:val="003C5DCA"/>
    <w:rsid w:val="003F1F3F"/>
    <w:rsid w:val="00406CBC"/>
    <w:rsid w:val="004438C1"/>
    <w:rsid w:val="00495831"/>
    <w:rsid w:val="004B4267"/>
    <w:rsid w:val="0051445B"/>
    <w:rsid w:val="0052156E"/>
    <w:rsid w:val="005929AD"/>
    <w:rsid w:val="005B12BA"/>
    <w:rsid w:val="005C4626"/>
    <w:rsid w:val="00603C48"/>
    <w:rsid w:val="0064292F"/>
    <w:rsid w:val="006B3E38"/>
    <w:rsid w:val="006E5828"/>
    <w:rsid w:val="00727151"/>
    <w:rsid w:val="00775B4F"/>
    <w:rsid w:val="007814E1"/>
    <w:rsid w:val="007E0014"/>
    <w:rsid w:val="00800938"/>
    <w:rsid w:val="00835149"/>
    <w:rsid w:val="008528C7"/>
    <w:rsid w:val="00875885"/>
    <w:rsid w:val="008812B8"/>
    <w:rsid w:val="00883D02"/>
    <w:rsid w:val="008A73F4"/>
    <w:rsid w:val="008B3E01"/>
    <w:rsid w:val="008C0C57"/>
    <w:rsid w:val="008C334B"/>
    <w:rsid w:val="008F3070"/>
    <w:rsid w:val="008F3346"/>
    <w:rsid w:val="00935930"/>
    <w:rsid w:val="0093744F"/>
    <w:rsid w:val="0094520A"/>
    <w:rsid w:val="00956987"/>
    <w:rsid w:val="00962E6A"/>
    <w:rsid w:val="00965E7E"/>
    <w:rsid w:val="00972F31"/>
    <w:rsid w:val="00997AFB"/>
    <w:rsid w:val="009A375A"/>
    <w:rsid w:val="009C678E"/>
    <w:rsid w:val="009D3F8E"/>
    <w:rsid w:val="00A04F6D"/>
    <w:rsid w:val="00A57EB8"/>
    <w:rsid w:val="00A759E3"/>
    <w:rsid w:val="00A806D9"/>
    <w:rsid w:val="00A953B4"/>
    <w:rsid w:val="00A96AEC"/>
    <w:rsid w:val="00AB7DF2"/>
    <w:rsid w:val="00B1208E"/>
    <w:rsid w:val="00B33E1D"/>
    <w:rsid w:val="00B55C8A"/>
    <w:rsid w:val="00B977AF"/>
    <w:rsid w:val="00BE7CC3"/>
    <w:rsid w:val="00BF247A"/>
    <w:rsid w:val="00C33C74"/>
    <w:rsid w:val="00C506F8"/>
    <w:rsid w:val="00C80565"/>
    <w:rsid w:val="00C822D9"/>
    <w:rsid w:val="00C9608E"/>
    <w:rsid w:val="00CB6C31"/>
    <w:rsid w:val="00D05D38"/>
    <w:rsid w:val="00D1077B"/>
    <w:rsid w:val="00D203F3"/>
    <w:rsid w:val="00D356E3"/>
    <w:rsid w:val="00D57CF0"/>
    <w:rsid w:val="00D61887"/>
    <w:rsid w:val="00DA7F7C"/>
    <w:rsid w:val="00DB1960"/>
    <w:rsid w:val="00DC0822"/>
    <w:rsid w:val="00DD2D32"/>
    <w:rsid w:val="00DE4B2A"/>
    <w:rsid w:val="00E226B5"/>
    <w:rsid w:val="00E90A6C"/>
    <w:rsid w:val="00EB6D10"/>
    <w:rsid w:val="00EC2BFE"/>
    <w:rsid w:val="00EF3643"/>
    <w:rsid w:val="00F233C4"/>
    <w:rsid w:val="00F45EC1"/>
    <w:rsid w:val="00F86EA8"/>
    <w:rsid w:val="00F90C8E"/>
    <w:rsid w:val="00FF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D04D"/>
  <w15:chartTrackingRefBased/>
  <w15:docId w15:val="{A937414F-95BA-4EBF-9A4B-90B60811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351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156E"/>
    <w:rPr>
      <w:b/>
      <w:bCs/>
    </w:rPr>
  </w:style>
  <w:style w:type="paragraph" w:styleId="NormalWeb">
    <w:name w:val="Normal (Web)"/>
    <w:basedOn w:val="Normal"/>
    <w:uiPriority w:val="99"/>
    <w:semiHidden/>
    <w:unhideWhenUsed/>
    <w:rsid w:val="00781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35149"/>
    <w:rPr>
      <w:rFonts w:ascii="Times New Roman" w:eastAsia="Times New Roman" w:hAnsi="Times New Roman" w:cs="Times New Roman"/>
      <w:b/>
      <w:bCs/>
      <w:kern w:val="36"/>
      <w:sz w:val="48"/>
      <w:szCs w:val="48"/>
    </w:rPr>
  </w:style>
  <w:style w:type="paragraph" w:styleId="Revision">
    <w:name w:val="Revision"/>
    <w:hidden/>
    <w:uiPriority w:val="99"/>
    <w:semiHidden/>
    <w:rsid w:val="00965E7E"/>
    <w:pPr>
      <w:spacing w:after="0" w:line="240" w:lineRule="auto"/>
    </w:pPr>
  </w:style>
  <w:style w:type="character" w:styleId="CommentReference">
    <w:name w:val="annotation reference"/>
    <w:basedOn w:val="DefaultParagraphFont"/>
    <w:uiPriority w:val="99"/>
    <w:semiHidden/>
    <w:unhideWhenUsed/>
    <w:rsid w:val="001120D4"/>
    <w:rPr>
      <w:sz w:val="16"/>
      <w:szCs w:val="16"/>
    </w:rPr>
  </w:style>
  <w:style w:type="paragraph" w:styleId="CommentText">
    <w:name w:val="annotation text"/>
    <w:basedOn w:val="Normal"/>
    <w:link w:val="CommentTextChar"/>
    <w:uiPriority w:val="99"/>
    <w:unhideWhenUsed/>
    <w:rsid w:val="001120D4"/>
    <w:pPr>
      <w:spacing w:line="240" w:lineRule="auto"/>
    </w:pPr>
    <w:rPr>
      <w:sz w:val="20"/>
      <w:szCs w:val="20"/>
    </w:rPr>
  </w:style>
  <w:style w:type="character" w:customStyle="1" w:styleId="CommentTextChar">
    <w:name w:val="Comment Text Char"/>
    <w:basedOn w:val="DefaultParagraphFont"/>
    <w:link w:val="CommentText"/>
    <w:uiPriority w:val="99"/>
    <w:rsid w:val="001120D4"/>
    <w:rPr>
      <w:sz w:val="20"/>
      <w:szCs w:val="20"/>
    </w:rPr>
  </w:style>
  <w:style w:type="paragraph" w:styleId="CommentSubject">
    <w:name w:val="annotation subject"/>
    <w:basedOn w:val="CommentText"/>
    <w:next w:val="CommentText"/>
    <w:link w:val="CommentSubjectChar"/>
    <w:uiPriority w:val="99"/>
    <w:semiHidden/>
    <w:unhideWhenUsed/>
    <w:rsid w:val="001120D4"/>
    <w:rPr>
      <w:b/>
      <w:bCs/>
    </w:rPr>
  </w:style>
  <w:style w:type="character" w:customStyle="1" w:styleId="CommentSubjectChar">
    <w:name w:val="Comment Subject Char"/>
    <w:basedOn w:val="CommentTextChar"/>
    <w:link w:val="CommentSubject"/>
    <w:uiPriority w:val="99"/>
    <w:semiHidden/>
    <w:rsid w:val="001120D4"/>
    <w:rPr>
      <w:b/>
      <w:bCs/>
      <w:sz w:val="20"/>
      <w:szCs w:val="20"/>
    </w:rPr>
  </w:style>
  <w:style w:type="paragraph" w:styleId="BalloonText">
    <w:name w:val="Balloon Text"/>
    <w:basedOn w:val="Normal"/>
    <w:link w:val="BalloonTextChar"/>
    <w:uiPriority w:val="99"/>
    <w:semiHidden/>
    <w:unhideWhenUsed/>
    <w:rsid w:val="00883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D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3097">
      <w:bodyDiv w:val="1"/>
      <w:marLeft w:val="0"/>
      <w:marRight w:val="0"/>
      <w:marTop w:val="0"/>
      <w:marBottom w:val="0"/>
      <w:divBdr>
        <w:top w:val="none" w:sz="0" w:space="0" w:color="auto"/>
        <w:left w:val="none" w:sz="0" w:space="0" w:color="auto"/>
        <w:bottom w:val="none" w:sz="0" w:space="0" w:color="auto"/>
        <w:right w:val="none" w:sz="0" w:space="0" w:color="auto"/>
      </w:divBdr>
    </w:div>
    <w:div w:id="1009985862">
      <w:bodyDiv w:val="1"/>
      <w:marLeft w:val="0"/>
      <w:marRight w:val="0"/>
      <w:marTop w:val="0"/>
      <w:marBottom w:val="0"/>
      <w:divBdr>
        <w:top w:val="none" w:sz="0" w:space="0" w:color="auto"/>
        <w:left w:val="none" w:sz="0" w:space="0" w:color="auto"/>
        <w:bottom w:val="none" w:sz="0" w:space="0" w:color="auto"/>
        <w:right w:val="none" w:sz="0" w:space="0" w:color="auto"/>
      </w:divBdr>
    </w:div>
    <w:div w:id="1118793687">
      <w:bodyDiv w:val="1"/>
      <w:marLeft w:val="0"/>
      <w:marRight w:val="0"/>
      <w:marTop w:val="0"/>
      <w:marBottom w:val="0"/>
      <w:divBdr>
        <w:top w:val="none" w:sz="0" w:space="0" w:color="auto"/>
        <w:left w:val="none" w:sz="0" w:space="0" w:color="auto"/>
        <w:bottom w:val="none" w:sz="0" w:space="0" w:color="auto"/>
        <w:right w:val="none" w:sz="0" w:space="0" w:color="auto"/>
      </w:divBdr>
    </w:div>
    <w:div w:id="1207452919">
      <w:bodyDiv w:val="1"/>
      <w:marLeft w:val="0"/>
      <w:marRight w:val="0"/>
      <w:marTop w:val="0"/>
      <w:marBottom w:val="0"/>
      <w:divBdr>
        <w:top w:val="none" w:sz="0" w:space="0" w:color="auto"/>
        <w:left w:val="none" w:sz="0" w:space="0" w:color="auto"/>
        <w:bottom w:val="none" w:sz="0" w:space="0" w:color="auto"/>
        <w:right w:val="none" w:sz="0" w:space="0" w:color="auto"/>
      </w:divBdr>
    </w:div>
    <w:div w:id="1355840846">
      <w:bodyDiv w:val="1"/>
      <w:marLeft w:val="0"/>
      <w:marRight w:val="0"/>
      <w:marTop w:val="0"/>
      <w:marBottom w:val="0"/>
      <w:divBdr>
        <w:top w:val="none" w:sz="0" w:space="0" w:color="auto"/>
        <w:left w:val="none" w:sz="0" w:space="0" w:color="auto"/>
        <w:bottom w:val="none" w:sz="0" w:space="0" w:color="auto"/>
        <w:right w:val="none" w:sz="0" w:space="0" w:color="auto"/>
      </w:divBdr>
    </w:div>
    <w:div w:id="1560020884">
      <w:bodyDiv w:val="1"/>
      <w:marLeft w:val="0"/>
      <w:marRight w:val="0"/>
      <w:marTop w:val="0"/>
      <w:marBottom w:val="0"/>
      <w:divBdr>
        <w:top w:val="none" w:sz="0" w:space="0" w:color="auto"/>
        <w:left w:val="none" w:sz="0" w:space="0" w:color="auto"/>
        <w:bottom w:val="none" w:sz="0" w:space="0" w:color="auto"/>
        <w:right w:val="none" w:sz="0" w:space="0" w:color="auto"/>
      </w:divBdr>
    </w:div>
    <w:div w:id="164241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Long</dc:creator>
  <cp:keywords/>
  <dc:description/>
  <cp:lastModifiedBy>Trinity Long</cp:lastModifiedBy>
  <cp:revision>2</cp:revision>
  <dcterms:created xsi:type="dcterms:W3CDTF">2023-04-18T11:44:00Z</dcterms:created>
  <dcterms:modified xsi:type="dcterms:W3CDTF">2023-04-18T11:44:00Z</dcterms:modified>
</cp:coreProperties>
</file>